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8BA20" w14:textId="75E9A461" w:rsidR="00E479EA" w:rsidRPr="00855E16" w:rsidRDefault="00CA13E1" w:rsidP="009C49E3">
      <w:pPr>
        <w:rPr>
          <w:rStyle w:val="normaltextrun"/>
          <w:rFonts w:ascii="UnitOT-Medium" w:hAnsi="UnitOT-Medium" w:cs="Arial"/>
          <w:color w:val="000000"/>
          <w:sz w:val="32"/>
          <w:szCs w:val="32"/>
          <w:shd w:val="clear" w:color="auto" w:fill="FFFFFF"/>
        </w:rPr>
      </w:pPr>
      <w:r>
        <w:rPr>
          <w:rStyle w:val="normaltextrun"/>
          <w:rFonts w:ascii="UnitOT-Medium" w:hAnsi="UnitOT-Medium" w:cs="Arial"/>
          <w:color w:val="000000"/>
          <w:sz w:val="32"/>
          <w:szCs w:val="32"/>
          <w:shd w:val="clear" w:color="auto" w:fill="FFFFFF"/>
        </w:rPr>
        <w:t xml:space="preserve">Die Chance </w:t>
      </w:r>
      <w:r w:rsidR="00F70382">
        <w:rPr>
          <w:rStyle w:val="normaltextrun"/>
          <w:rFonts w:ascii="UnitOT-Medium" w:hAnsi="UnitOT-Medium" w:cs="Arial"/>
          <w:color w:val="000000"/>
          <w:sz w:val="32"/>
          <w:szCs w:val="32"/>
          <w:shd w:val="clear" w:color="auto" w:fill="FFFFFF"/>
        </w:rPr>
        <w:t>für</w:t>
      </w:r>
      <w:r w:rsidR="00B95676">
        <w:rPr>
          <w:rStyle w:val="normaltextrun"/>
          <w:rFonts w:ascii="UnitOT-Medium" w:hAnsi="UnitOT-Medium" w:cs="Arial"/>
          <w:color w:val="000000"/>
          <w:sz w:val="32"/>
          <w:szCs w:val="32"/>
          <w:shd w:val="clear" w:color="auto" w:fill="FFFFFF"/>
        </w:rPr>
        <w:t xml:space="preserve"> eine nachhaltige</w:t>
      </w:r>
      <w:r>
        <w:rPr>
          <w:rStyle w:val="normaltextrun"/>
          <w:rFonts w:ascii="UnitOT-Medium" w:hAnsi="UnitOT-Medium" w:cs="Arial"/>
          <w:color w:val="000000"/>
          <w:sz w:val="32"/>
          <w:szCs w:val="32"/>
          <w:shd w:val="clear" w:color="auto" w:fill="FFFFFF"/>
        </w:rPr>
        <w:t xml:space="preserve"> Zukunft jetzt </w:t>
      </w:r>
      <w:r w:rsidR="00B95676">
        <w:rPr>
          <w:rStyle w:val="normaltextrun"/>
          <w:rFonts w:ascii="UnitOT-Medium" w:hAnsi="UnitOT-Medium" w:cs="Arial"/>
          <w:color w:val="000000"/>
          <w:sz w:val="32"/>
          <w:szCs w:val="32"/>
          <w:shd w:val="clear" w:color="auto" w:fill="FFFFFF"/>
        </w:rPr>
        <w:t>nutzen</w:t>
      </w:r>
    </w:p>
    <w:p w14:paraId="3F5937EA" w14:textId="1DFCDD8A" w:rsidR="00E479EA" w:rsidRPr="00855E16" w:rsidRDefault="00F70382" w:rsidP="009C49E3">
      <w:pPr>
        <w:rPr>
          <w:rStyle w:val="normaltextrun"/>
          <w:rFonts w:ascii="UnitOT-Medium" w:hAnsi="UnitOT-Medium" w:cs="Arial"/>
          <w:color w:val="000000"/>
          <w:sz w:val="20"/>
          <w:szCs w:val="20"/>
          <w:shd w:val="clear" w:color="auto" w:fill="FFFFFF"/>
        </w:rPr>
      </w:pPr>
      <w:r>
        <w:rPr>
          <w:rStyle w:val="normaltextrun"/>
          <w:rFonts w:ascii="UnitOT-Medium" w:hAnsi="UnitOT-Medium" w:cs="Arial"/>
          <w:color w:val="000000"/>
          <w:sz w:val="20"/>
          <w:szCs w:val="20"/>
          <w:shd w:val="clear" w:color="auto" w:fill="FFFFFF"/>
        </w:rPr>
        <w:t>Die Schweiz braucht eine</w:t>
      </w:r>
      <w:r w:rsidR="00920C07">
        <w:rPr>
          <w:rStyle w:val="normaltextrun"/>
          <w:rFonts w:ascii="UnitOT-Medium" w:hAnsi="UnitOT-Medium" w:cs="Arial"/>
          <w:color w:val="000000"/>
          <w:sz w:val="20"/>
          <w:szCs w:val="20"/>
          <w:shd w:val="clear" w:color="auto" w:fill="FFFFFF"/>
        </w:rPr>
        <w:t xml:space="preserve"> wirksame </w:t>
      </w:r>
      <w:proofErr w:type="spellStart"/>
      <w:r w:rsidR="00DC1570" w:rsidRPr="00855E16">
        <w:rPr>
          <w:rStyle w:val="normaltextrun"/>
          <w:rFonts w:ascii="UnitOT-Medium" w:hAnsi="UnitOT-Medium" w:cs="Arial"/>
          <w:color w:val="000000"/>
          <w:sz w:val="20"/>
          <w:szCs w:val="20"/>
          <w:shd w:val="clear" w:color="auto" w:fill="FFFFFF"/>
        </w:rPr>
        <w:t>bundesrätliche</w:t>
      </w:r>
      <w:proofErr w:type="spellEnd"/>
      <w:r w:rsidR="00E479EA" w:rsidRPr="00855E16">
        <w:rPr>
          <w:rStyle w:val="normaltextrun"/>
          <w:rFonts w:ascii="UnitOT-Medium" w:hAnsi="UnitOT-Medium" w:cs="Arial"/>
          <w:color w:val="000000"/>
          <w:sz w:val="20"/>
          <w:szCs w:val="20"/>
          <w:shd w:val="clear" w:color="auto" w:fill="FFFFFF"/>
        </w:rPr>
        <w:t xml:space="preserve"> Strategie Nachhaltige Entwicklung</w:t>
      </w:r>
      <w:r w:rsidR="00DC1570" w:rsidRPr="00855E16">
        <w:rPr>
          <w:rStyle w:val="normaltextrun"/>
          <w:rFonts w:ascii="UnitOT-Medium" w:hAnsi="UnitOT-Medium" w:cs="Arial"/>
          <w:color w:val="000000"/>
          <w:sz w:val="20"/>
          <w:szCs w:val="20"/>
          <w:shd w:val="clear" w:color="auto" w:fill="FFFFFF"/>
        </w:rPr>
        <w:t xml:space="preserve"> 203</w:t>
      </w:r>
      <w:r w:rsidR="00920C07">
        <w:rPr>
          <w:rStyle w:val="normaltextrun"/>
          <w:rFonts w:ascii="UnitOT-Medium" w:hAnsi="UnitOT-Medium" w:cs="Arial"/>
          <w:color w:val="000000"/>
          <w:sz w:val="20"/>
          <w:szCs w:val="20"/>
          <w:shd w:val="clear" w:color="auto" w:fill="FFFFFF"/>
        </w:rPr>
        <w:t>0</w:t>
      </w:r>
    </w:p>
    <w:p w14:paraId="5CC2E120" w14:textId="77777777" w:rsidR="00E479EA" w:rsidRDefault="00E479EA" w:rsidP="009C49E3">
      <w:pPr>
        <w:rPr>
          <w:rStyle w:val="normaltextrun"/>
          <w:rFonts w:ascii="Arial" w:hAnsi="Arial" w:cs="Arial"/>
          <w:color w:val="000000"/>
          <w:sz w:val="20"/>
          <w:szCs w:val="20"/>
          <w:shd w:val="clear" w:color="auto" w:fill="FFFFFF"/>
        </w:rPr>
      </w:pPr>
    </w:p>
    <w:p w14:paraId="3B436FA7" w14:textId="3750412B" w:rsidR="00FA1F74" w:rsidRPr="00855E16" w:rsidRDefault="00E12B18" w:rsidP="009C49E3">
      <w:pPr>
        <w:rPr>
          <w:rFonts w:ascii="UnitOT-Medium" w:hAnsi="UnitOT-Medium"/>
        </w:rPr>
      </w:pPr>
      <w:r w:rsidRPr="00855E16">
        <w:rPr>
          <w:rStyle w:val="normaltextrun"/>
          <w:rFonts w:ascii="UnitOT-Medium" w:hAnsi="UnitOT-Medium" w:cs="Arial"/>
          <w:color w:val="000000"/>
          <w:shd w:val="clear" w:color="auto" w:fill="FFFFFF"/>
        </w:rPr>
        <w:t xml:space="preserve">Zürich, 12.2.2020. </w:t>
      </w:r>
      <w:r w:rsidR="00F1052D" w:rsidRPr="00855E16">
        <w:rPr>
          <w:rFonts w:ascii="UnitOT-Medium" w:hAnsi="UnitOT-Medium"/>
        </w:rPr>
        <w:t xml:space="preserve">Das </w:t>
      </w:r>
      <w:proofErr w:type="spellStart"/>
      <w:r w:rsidR="00F1052D" w:rsidRPr="00855E16">
        <w:rPr>
          <w:rFonts w:ascii="UnitOT-Medium" w:hAnsi="UnitOT-Medium"/>
        </w:rPr>
        <w:t>Sustainable</w:t>
      </w:r>
      <w:proofErr w:type="spellEnd"/>
      <w:r w:rsidR="00F1052D" w:rsidRPr="00855E16">
        <w:rPr>
          <w:rFonts w:ascii="UnitOT-Medium" w:hAnsi="UnitOT-Medium"/>
        </w:rPr>
        <w:t xml:space="preserve"> Development Solution</w:t>
      </w:r>
      <w:r w:rsidR="00A4434C">
        <w:rPr>
          <w:rFonts w:ascii="UnitOT-Medium" w:hAnsi="UnitOT-Medium"/>
        </w:rPr>
        <w:t>s</w:t>
      </w:r>
      <w:r w:rsidR="00102D39">
        <w:rPr>
          <w:rFonts w:ascii="UnitOT-Medium" w:hAnsi="UnitOT-Medium"/>
        </w:rPr>
        <w:t xml:space="preserve"> Network</w:t>
      </w:r>
      <w:r w:rsidR="00F1052D" w:rsidRPr="00855E16">
        <w:rPr>
          <w:rFonts w:ascii="UnitOT-Medium" w:hAnsi="UnitOT-Medium"/>
        </w:rPr>
        <w:t xml:space="preserve"> </w:t>
      </w:r>
      <w:proofErr w:type="spellStart"/>
      <w:r w:rsidR="00F1052D" w:rsidRPr="00855E16">
        <w:rPr>
          <w:rFonts w:ascii="UnitOT-Medium" w:hAnsi="UnitOT-Medium"/>
        </w:rPr>
        <w:t>Switzerland</w:t>
      </w:r>
      <w:proofErr w:type="spellEnd"/>
      <w:r w:rsidR="00F1052D" w:rsidRPr="00855E16">
        <w:rPr>
          <w:rFonts w:ascii="UnitOT-Medium" w:hAnsi="UnitOT-Medium"/>
        </w:rPr>
        <w:t xml:space="preserve"> </w:t>
      </w:r>
      <w:r w:rsidR="00C924C0" w:rsidRPr="00855E16">
        <w:rPr>
          <w:rFonts w:ascii="UnitOT-Medium" w:hAnsi="UnitOT-Medium"/>
        </w:rPr>
        <w:t>(</w:t>
      </w:r>
      <w:r w:rsidR="00F1052D" w:rsidRPr="00855E16">
        <w:rPr>
          <w:rFonts w:ascii="UnitOT-Medium" w:hAnsi="UnitOT-Medium"/>
        </w:rPr>
        <w:t>SDSN</w:t>
      </w:r>
      <w:r w:rsidR="00C924C0" w:rsidRPr="00855E16">
        <w:rPr>
          <w:rFonts w:ascii="UnitOT-Medium" w:hAnsi="UnitOT-Medium"/>
        </w:rPr>
        <w:t>)</w:t>
      </w:r>
      <w:r w:rsidR="00FA1F74" w:rsidRPr="00855E16">
        <w:rPr>
          <w:rFonts w:ascii="UnitOT-Medium" w:hAnsi="UnitOT-Medium"/>
        </w:rPr>
        <w:t>, eine</w:t>
      </w:r>
      <w:r w:rsidR="00F1052D" w:rsidRPr="00855E16">
        <w:rPr>
          <w:rFonts w:ascii="UnitOT-Medium" w:hAnsi="UnitOT-Medium"/>
        </w:rPr>
        <w:t xml:space="preserve"> UN-Initiative zur </w:t>
      </w:r>
      <w:r w:rsidR="00FA1F74" w:rsidRPr="00855E16">
        <w:rPr>
          <w:rFonts w:ascii="UnitOT-Medium" w:hAnsi="UnitOT-Medium"/>
        </w:rPr>
        <w:t>Umsetzung</w:t>
      </w:r>
      <w:r w:rsidR="00F1052D" w:rsidRPr="00855E16">
        <w:rPr>
          <w:rFonts w:ascii="UnitOT-Medium" w:hAnsi="UnitOT-Medium"/>
        </w:rPr>
        <w:t xml:space="preserve"> der Agenda 2030 und </w:t>
      </w:r>
      <w:r w:rsidR="00851312" w:rsidRPr="00855E16">
        <w:rPr>
          <w:rFonts w:ascii="UnitOT-Medium" w:hAnsi="UnitOT-Medium"/>
        </w:rPr>
        <w:t>des Pariser Klima-Abkommens</w:t>
      </w:r>
      <w:r w:rsidR="00FA1F74" w:rsidRPr="00855E16">
        <w:rPr>
          <w:rFonts w:ascii="UnitOT-Medium" w:hAnsi="UnitOT-Medium"/>
        </w:rPr>
        <w:t xml:space="preserve">, </w:t>
      </w:r>
      <w:r w:rsidR="00F1052D" w:rsidRPr="00855E16">
        <w:rPr>
          <w:rFonts w:ascii="UnitOT-Medium" w:hAnsi="UnitOT-Medium"/>
        </w:rPr>
        <w:t xml:space="preserve">präsentiert heute seine </w:t>
      </w:r>
      <w:r w:rsidR="00C924C0" w:rsidRPr="00855E16">
        <w:rPr>
          <w:rFonts w:ascii="UnitOT-Medium" w:hAnsi="UnitOT-Medium"/>
        </w:rPr>
        <w:t xml:space="preserve">Empfehlungen </w:t>
      </w:r>
      <w:r w:rsidR="00F1052D" w:rsidRPr="00855E16">
        <w:rPr>
          <w:rFonts w:ascii="UnitOT-Medium" w:hAnsi="UnitOT-Medium"/>
        </w:rPr>
        <w:t xml:space="preserve">zur </w:t>
      </w:r>
      <w:proofErr w:type="spellStart"/>
      <w:r w:rsidR="00C924C0" w:rsidRPr="00855E16">
        <w:rPr>
          <w:rFonts w:ascii="UnitOT-Medium" w:hAnsi="UnitOT-Medium"/>
        </w:rPr>
        <w:t>bundesrätlichen</w:t>
      </w:r>
      <w:proofErr w:type="spellEnd"/>
      <w:r w:rsidR="00C924C0" w:rsidRPr="00855E16">
        <w:rPr>
          <w:rFonts w:ascii="UnitOT-Medium" w:hAnsi="UnitOT-Medium"/>
        </w:rPr>
        <w:t xml:space="preserve"> </w:t>
      </w:r>
      <w:r w:rsidR="00F1052D" w:rsidRPr="00855E16">
        <w:rPr>
          <w:rFonts w:ascii="UnitOT-Medium" w:hAnsi="UnitOT-Medium"/>
        </w:rPr>
        <w:t xml:space="preserve">Strategie Nachhaltige Entwicklung </w:t>
      </w:r>
      <w:r w:rsidR="00C924C0" w:rsidRPr="00855E16">
        <w:rPr>
          <w:rFonts w:ascii="UnitOT-Medium" w:hAnsi="UnitOT-Medium"/>
        </w:rPr>
        <w:t>2030</w:t>
      </w:r>
      <w:r w:rsidR="00F1052D" w:rsidRPr="00855E16">
        <w:rPr>
          <w:rFonts w:ascii="UnitOT-Medium" w:hAnsi="UnitOT-Medium"/>
        </w:rPr>
        <w:t>.</w:t>
      </w:r>
      <w:r w:rsidR="00F1052D" w:rsidRPr="00855E16">
        <w:rPr>
          <w:rStyle w:val="normaltextrun"/>
          <w:rFonts w:ascii="UnitOT-Medium" w:hAnsi="UnitOT-Medium" w:cs="Arial"/>
          <w:color w:val="000000"/>
          <w:shd w:val="clear" w:color="auto" w:fill="FFFFFF"/>
        </w:rPr>
        <w:t xml:space="preserve"> </w:t>
      </w:r>
      <w:r w:rsidR="00E479EA" w:rsidRPr="00855E16">
        <w:rPr>
          <w:rFonts w:ascii="UnitOT-Medium" w:hAnsi="UnitOT-Medium"/>
        </w:rPr>
        <w:t>Über 60 führende Organisationen aus Wissenschaft, Wirtschaft, Zivilgesellschaft, Politik und Kultur beteiligten sich an deren Ausarbeitung</w:t>
      </w:r>
      <w:r w:rsidR="00503AB4">
        <w:rPr>
          <w:rFonts w:ascii="UnitOT-Medium" w:hAnsi="UnitOT-Medium"/>
        </w:rPr>
        <w:t xml:space="preserve">. </w:t>
      </w:r>
      <w:r w:rsidR="00B95676">
        <w:rPr>
          <w:rFonts w:ascii="UnitOT-Medium" w:hAnsi="UnitOT-Medium"/>
        </w:rPr>
        <w:t>Diese</w:t>
      </w:r>
      <w:r w:rsidR="00B95676" w:rsidRPr="00855E16">
        <w:rPr>
          <w:rFonts w:ascii="UnitOT-Medium" w:hAnsi="UnitOT-Medium"/>
        </w:rPr>
        <w:t xml:space="preserve"> </w:t>
      </w:r>
      <w:r w:rsidR="00E479EA" w:rsidRPr="00855E16">
        <w:rPr>
          <w:rFonts w:ascii="UnitOT-Medium" w:hAnsi="UnitOT-Medium"/>
        </w:rPr>
        <w:t>kamen zum Schluss</w:t>
      </w:r>
      <w:r w:rsidR="00B95676">
        <w:rPr>
          <w:rFonts w:ascii="UnitOT-Medium" w:hAnsi="UnitOT-Medium"/>
        </w:rPr>
        <w:t>, dass der Bundesrat angesichts</w:t>
      </w:r>
      <w:r w:rsidR="00FA1F74" w:rsidRPr="00855E16">
        <w:rPr>
          <w:rStyle w:val="normaltextrun"/>
          <w:rFonts w:ascii="UnitOT-Medium" w:hAnsi="UnitOT-Medium" w:cs="Arial"/>
          <w:color w:val="000000"/>
          <w:shd w:val="clear" w:color="auto" w:fill="FFFFFF"/>
        </w:rPr>
        <w:t xml:space="preserve"> der grossen globalen Herausforderungen</w:t>
      </w:r>
      <w:r w:rsidR="00B95676">
        <w:rPr>
          <w:rStyle w:val="normaltextrun"/>
          <w:rFonts w:ascii="UnitOT-Medium" w:hAnsi="UnitOT-Medium" w:cs="Arial"/>
          <w:color w:val="000000"/>
          <w:shd w:val="clear" w:color="auto" w:fill="FFFFFF"/>
        </w:rPr>
        <w:t xml:space="preserve"> </w:t>
      </w:r>
      <w:r w:rsidR="00FA1F74" w:rsidRPr="00855E16">
        <w:rPr>
          <w:rStyle w:val="normaltextrun"/>
          <w:rFonts w:ascii="UnitOT-Medium" w:hAnsi="UnitOT-Medium" w:cs="Arial"/>
          <w:color w:val="000000"/>
          <w:shd w:val="clear" w:color="auto" w:fill="FFFFFF"/>
        </w:rPr>
        <w:t>einen zu wenig ambitiösen und zu wenig konkreten Strategieentwurf</w:t>
      </w:r>
      <w:r w:rsidR="00EE6939">
        <w:rPr>
          <w:rStyle w:val="normaltextrun"/>
          <w:rFonts w:ascii="UnitOT-Medium" w:hAnsi="UnitOT-Medium" w:cs="Arial"/>
          <w:color w:val="000000"/>
          <w:shd w:val="clear" w:color="auto" w:fill="FFFFFF"/>
        </w:rPr>
        <w:t xml:space="preserve"> präsentiert</w:t>
      </w:r>
      <w:r w:rsidR="00FA1F74" w:rsidRPr="00855E16">
        <w:rPr>
          <w:rStyle w:val="normaltextrun"/>
          <w:rFonts w:ascii="UnitOT-Medium" w:hAnsi="UnitOT-Medium" w:cs="Arial"/>
          <w:color w:val="000000"/>
          <w:shd w:val="clear" w:color="auto" w:fill="FFFFFF"/>
        </w:rPr>
        <w:t xml:space="preserve">. </w:t>
      </w:r>
      <w:r w:rsidR="004F433D" w:rsidRPr="00855E16">
        <w:rPr>
          <w:rFonts w:ascii="UnitOT-Medium" w:hAnsi="UnitOT-Medium"/>
        </w:rPr>
        <w:t>Die Dringlichkeit zu Handeln bedarf einer starken Führungsrolle</w:t>
      </w:r>
      <w:r w:rsidR="0000155F">
        <w:rPr>
          <w:rFonts w:ascii="UnitOT-Medium" w:hAnsi="UnitOT-Medium"/>
        </w:rPr>
        <w:t xml:space="preserve"> des Bundesrates</w:t>
      </w:r>
      <w:r w:rsidR="00EE6939">
        <w:rPr>
          <w:rFonts w:ascii="UnitOT-Medium" w:hAnsi="UnitOT-Medium"/>
        </w:rPr>
        <w:t>.</w:t>
      </w:r>
      <w:r w:rsidR="004F433D" w:rsidRPr="00855E16">
        <w:rPr>
          <w:rFonts w:ascii="UnitOT-Medium" w:hAnsi="UnitOT-Medium"/>
        </w:rPr>
        <w:t xml:space="preserve"> </w:t>
      </w:r>
    </w:p>
    <w:p w14:paraId="3D521525" w14:textId="0718994A" w:rsidR="0065164E" w:rsidRDefault="00784E5F" w:rsidP="00855E16">
      <w:pPr>
        <w:rPr>
          <w:rFonts w:ascii="UnitOT-Light" w:hAnsi="UnitOT-Light"/>
        </w:rPr>
      </w:pPr>
      <w:r w:rsidRPr="00855E16">
        <w:rPr>
          <w:rFonts w:ascii="UnitOT-Light" w:hAnsi="UnitOT-Light"/>
        </w:rPr>
        <w:t xml:space="preserve">«17 Ziele, </w:t>
      </w:r>
      <w:r w:rsidR="00E65F58">
        <w:rPr>
          <w:rFonts w:ascii="UnitOT-Light" w:hAnsi="UnitOT-Light"/>
        </w:rPr>
        <w:t>die die Welt verändern</w:t>
      </w:r>
      <w:r w:rsidRPr="00855E16">
        <w:rPr>
          <w:rFonts w:ascii="UnitOT-Light" w:hAnsi="UnitOT-Light"/>
        </w:rPr>
        <w:t>» – nichts Geringeres beschlossen 2015 die UN-</w:t>
      </w:r>
      <w:r w:rsidRPr="00855E16">
        <w:rPr>
          <w:rFonts w:ascii="UnitOT-Light" w:hAnsi="UnitOT-Light"/>
        </w:rPr>
        <w:softHyphen/>
        <w:t xml:space="preserve">Mitgliedsländer mit der sogenannten Agenda 2030. Die 17 </w:t>
      </w:r>
      <w:r>
        <w:rPr>
          <w:rFonts w:ascii="UnitOT-Light" w:hAnsi="UnitOT-Light"/>
        </w:rPr>
        <w:t xml:space="preserve">globalen </w:t>
      </w:r>
      <w:r w:rsidRPr="00855E16">
        <w:rPr>
          <w:rFonts w:ascii="UnitOT-Light" w:hAnsi="UnitOT-Light"/>
        </w:rPr>
        <w:t>Ziele für eine Nachhaltige Entwicklung</w:t>
      </w:r>
      <w:r w:rsidR="00B87186" w:rsidRPr="00855E16">
        <w:rPr>
          <w:rFonts w:ascii="UnitOT-Light" w:hAnsi="UnitOT-Light"/>
        </w:rPr>
        <w:t xml:space="preserve">, auch bekannt als </w:t>
      </w:r>
      <w:proofErr w:type="spellStart"/>
      <w:r w:rsidR="00B87186">
        <w:rPr>
          <w:rFonts w:ascii="UnitOT-Light" w:hAnsi="UnitOT-Light"/>
        </w:rPr>
        <w:t>Sustainable</w:t>
      </w:r>
      <w:proofErr w:type="spellEnd"/>
      <w:r w:rsidR="00B87186">
        <w:rPr>
          <w:rFonts w:ascii="UnitOT-Light" w:hAnsi="UnitOT-Light"/>
        </w:rPr>
        <w:t xml:space="preserve"> Development Goals (SDGs),</w:t>
      </w:r>
      <w:r>
        <w:rPr>
          <w:rFonts w:ascii="UnitOT-Light" w:hAnsi="UnitOT-Light"/>
        </w:rPr>
        <w:t xml:space="preserve"> </w:t>
      </w:r>
      <w:r w:rsidRPr="00855E16">
        <w:rPr>
          <w:rFonts w:ascii="UnitOT-Light" w:hAnsi="UnitOT-Light"/>
        </w:rPr>
        <w:t>sollen den Weg in eine bessere und nachhaltige Zukunft ebnen. Im November 2020 hat der Bundesrat eine 10-Jahres-Strategie</w:t>
      </w:r>
      <w:r w:rsidR="00B87186">
        <w:rPr>
          <w:rFonts w:ascii="UnitOT-Light" w:hAnsi="UnitOT-Light"/>
        </w:rPr>
        <w:t xml:space="preserve"> für Nachhaltige Entwicklung</w:t>
      </w:r>
      <w:r w:rsidR="00B87186" w:rsidRPr="00DD4845">
        <w:rPr>
          <w:rFonts w:ascii="UnitOT-Light" w:hAnsi="UnitOT-Light"/>
        </w:rPr>
        <w:t xml:space="preserve"> </w:t>
      </w:r>
      <w:r w:rsidR="00B87186">
        <w:rPr>
          <w:rFonts w:ascii="UnitOT-Light" w:hAnsi="UnitOT-Light"/>
        </w:rPr>
        <w:t>in Vernehmlassung gegeben.</w:t>
      </w:r>
      <w:r w:rsidR="00B87186" w:rsidRPr="00855E16">
        <w:rPr>
          <w:rFonts w:ascii="UnitOT-Light" w:hAnsi="UnitOT-Light"/>
        </w:rPr>
        <w:t xml:space="preserve"> </w:t>
      </w:r>
      <w:r w:rsidR="008D3754">
        <w:rPr>
          <w:rFonts w:ascii="UnitOT-Light" w:hAnsi="UnitOT-Light"/>
        </w:rPr>
        <w:t>SDSN</w:t>
      </w:r>
      <w:r w:rsidRPr="00DD4845">
        <w:rPr>
          <w:rFonts w:ascii="UnitOT-Light" w:hAnsi="UnitOT-Light"/>
        </w:rPr>
        <w:t xml:space="preserve"> </w:t>
      </w:r>
      <w:r>
        <w:rPr>
          <w:rFonts w:ascii="UnitOT-Light" w:hAnsi="UnitOT-Light"/>
        </w:rPr>
        <w:t xml:space="preserve">zeigt auf: </w:t>
      </w:r>
      <w:r w:rsidR="00B87186">
        <w:rPr>
          <w:rFonts w:ascii="UnitOT-Light" w:hAnsi="UnitOT-Light"/>
        </w:rPr>
        <w:t xml:space="preserve">Diese Strategie wird der </w:t>
      </w:r>
      <w:proofErr w:type="spellStart"/>
      <w:r w:rsidR="00B87186">
        <w:rPr>
          <w:rFonts w:ascii="UnitOT-Light" w:hAnsi="UnitOT-Light"/>
        </w:rPr>
        <w:t>bundesrätlichen</w:t>
      </w:r>
      <w:proofErr w:type="spellEnd"/>
      <w:r w:rsidR="00B87186">
        <w:rPr>
          <w:rFonts w:ascii="UnitOT-Light" w:hAnsi="UnitOT-Light"/>
        </w:rPr>
        <w:t xml:space="preserve"> Ambition die 17 Nachhaltigkeitsziele in der Schweiz und darüber hinaus zu Erreichen nicht gerecht. Es fehlt ihr an</w:t>
      </w:r>
      <w:r w:rsidR="00352D1E">
        <w:rPr>
          <w:rFonts w:ascii="UnitOT-Light" w:hAnsi="UnitOT-Light"/>
        </w:rPr>
        <w:t xml:space="preserve"> konkreten Lösungsansätzen zur Verhinderung</w:t>
      </w:r>
      <w:r w:rsidR="00F1052D" w:rsidRPr="00855E16">
        <w:rPr>
          <w:rFonts w:ascii="UnitOT-Light" w:hAnsi="UnitOT-Light"/>
        </w:rPr>
        <w:t xml:space="preserve"> </w:t>
      </w:r>
      <w:r w:rsidR="00352D1E">
        <w:rPr>
          <w:rFonts w:ascii="UnitOT-Light" w:hAnsi="UnitOT-Light"/>
        </w:rPr>
        <w:t>der</w:t>
      </w:r>
      <w:r w:rsidR="00F1052D" w:rsidRPr="00855E16">
        <w:rPr>
          <w:rFonts w:ascii="UnitOT-Light" w:hAnsi="UnitOT-Light"/>
        </w:rPr>
        <w:t xml:space="preserve"> von der Wissenschaft aufgezeigten, sich anbahnenden</w:t>
      </w:r>
      <w:r w:rsidR="009F606B">
        <w:rPr>
          <w:rFonts w:ascii="UnitOT-Light" w:hAnsi="UnitOT-Light"/>
        </w:rPr>
        <w:t xml:space="preserve"> fundamentalen ökologischen</w:t>
      </w:r>
      <w:r w:rsidR="00F1052D" w:rsidRPr="00855E16">
        <w:rPr>
          <w:rFonts w:ascii="UnitOT-Light" w:hAnsi="UnitOT-Light"/>
        </w:rPr>
        <w:t xml:space="preserve"> </w:t>
      </w:r>
      <w:r w:rsidR="009F606B">
        <w:rPr>
          <w:rFonts w:ascii="UnitOT-Light" w:hAnsi="UnitOT-Light"/>
        </w:rPr>
        <w:t>und gesellschaftli</w:t>
      </w:r>
      <w:r w:rsidR="00920C07">
        <w:rPr>
          <w:rFonts w:ascii="UnitOT-Light" w:hAnsi="UnitOT-Light"/>
        </w:rPr>
        <w:t>chen</w:t>
      </w:r>
      <w:r w:rsidR="009F606B">
        <w:rPr>
          <w:rFonts w:ascii="UnitOT-Light" w:hAnsi="UnitOT-Light"/>
        </w:rPr>
        <w:t xml:space="preserve"> </w:t>
      </w:r>
      <w:r w:rsidR="00F1052D" w:rsidRPr="00855E16">
        <w:rPr>
          <w:rFonts w:ascii="UnitOT-Light" w:hAnsi="UnitOT-Light"/>
        </w:rPr>
        <w:t>Krise</w:t>
      </w:r>
      <w:r w:rsidR="009F606B">
        <w:rPr>
          <w:rFonts w:ascii="UnitOT-Light" w:hAnsi="UnitOT-Light"/>
        </w:rPr>
        <w:t>.</w:t>
      </w:r>
      <w:r>
        <w:rPr>
          <w:rFonts w:ascii="UnitOT-Light" w:hAnsi="UnitOT-Light"/>
        </w:rPr>
        <w:t xml:space="preserve"> Zentrale Empfehlungen von SDSN für eine wirksame Strategie sind</w:t>
      </w:r>
      <w:r w:rsidR="0065164E">
        <w:rPr>
          <w:rFonts w:ascii="UnitOT-Light" w:hAnsi="UnitOT-Light"/>
        </w:rPr>
        <w:t>:</w:t>
      </w:r>
      <w:r>
        <w:rPr>
          <w:rFonts w:ascii="UnitOT-Light" w:hAnsi="UnitOT-Light"/>
        </w:rPr>
        <w:t xml:space="preserve"> </w:t>
      </w:r>
    </w:p>
    <w:p w14:paraId="12DDAAAE" w14:textId="5E9B2B99" w:rsidR="0065164E" w:rsidRPr="00855E16" w:rsidRDefault="00784E5F" w:rsidP="00855E16">
      <w:pPr>
        <w:pStyle w:val="Listenabsatz"/>
        <w:numPr>
          <w:ilvl w:val="0"/>
          <w:numId w:val="8"/>
        </w:numPr>
        <w:rPr>
          <w:rFonts w:ascii="UnitOT-Light" w:hAnsi="UnitOT-Light"/>
        </w:rPr>
      </w:pPr>
      <w:r w:rsidRPr="00855E16">
        <w:rPr>
          <w:rFonts w:ascii="UnitOT-Light" w:hAnsi="UnitOT-Light" w:cstheme="minorBidi"/>
          <w:sz w:val="22"/>
          <w:lang w:val="de-CH"/>
        </w:rPr>
        <w:t>ein</w:t>
      </w:r>
      <w:r w:rsidR="0065164E" w:rsidRPr="00B75B65">
        <w:rPr>
          <w:rFonts w:ascii="UnitOT-Light" w:hAnsi="UnitOT-Light" w:cstheme="minorBidi"/>
          <w:sz w:val="22"/>
          <w:lang w:val="de-CH"/>
        </w:rPr>
        <w:t xml:space="preserve"> bereichsübergreifender</w:t>
      </w:r>
      <w:r w:rsidRPr="00855E16">
        <w:rPr>
          <w:rFonts w:ascii="UnitOT-Light" w:hAnsi="UnitOT-Light" w:cstheme="minorBidi"/>
          <w:sz w:val="22"/>
          <w:lang w:val="de-CH"/>
        </w:rPr>
        <w:t xml:space="preserve"> Finanzplan </w:t>
      </w:r>
    </w:p>
    <w:p w14:paraId="07C00782" w14:textId="7F186CC0" w:rsidR="0065164E" w:rsidRPr="00855E16" w:rsidRDefault="00784E5F" w:rsidP="00855E16">
      <w:pPr>
        <w:pStyle w:val="Listenabsatz"/>
        <w:numPr>
          <w:ilvl w:val="0"/>
          <w:numId w:val="8"/>
        </w:numPr>
        <w:rPr>
          <w:rFonts w:ascii="UnitOT-Light" w:hAnsi="UnitOT-Light"/>
          <w:lang w:val="de-CH"/>
        </w:rPr>
      </w:pPr>
      <w:r w:rsidRPr="00855E16">
        <w:rPr>
          <w:rFonts w:ascii="UnitOT-Light" w:hAnsi="UnitOT-Light" w:cstheme="minorBidi"/>
          <w:sz w:val="22"/>
          <w:lang w:val="de-CH"/>
        </w:rPr>
        <w:t>genügend ambitionierte</w:t>
      </w:r>
      <w:r w:rsidR="00322FE0">
        <w:rPr>
          <w:rFonts w:ascii="UnitOT-Light" w:hAnsi="UnitOT-Light" w:cstheme="minorBidi"/>
          <w:sz w:val="22"/>
          <w:lang w:val="de-CH"/>
        </w:rPr>
        <w:t xml:space="preserve"> </w:t>
      </w:r>
      <w:r w:rsidRPr="00855E16">
        <w:rPr>
          <w:rFonts w:ascii="UnitOT-Light" w:hAnsi="UnitOT-Light" w:cstheme="minorBidi"/>
          <w:sz w:val="22"/>
          <w:lang w:val="de-CH"/>
        </w:rPr>
        <w:t>Ziele</w:t>
      </w:r>
      <w:r w:rsidR="00F70382">
        <w:rPr>
          <w:rFonts w:ascii="UnitOT-Light" w:hAnsi="UnitOT-Light" w:cstheme="minorBidi"/>
          <w:sz w:val="22"/>
          <w:lang w:val="de-CH"/>
        </w:rPr>
        <w:t>,</w:t>
      </w:r>
      <w:r w:rsidR="0065164E" w:rsidRPr="00855E16">
        <w:rPr>
          <w:rFonts w:ascii="UnitOT-Light" w:hAnsi="UnitOT-Light" w:cstheme="minorBidi"/>
          <w:sz w:val="22"/>
          <w:lang w:val="de-CH"/>
        </w:rPr>
        <w:t xml:space="preserve"> </w:t>
      </w:r>
      <w:r w:rsidR="00F70382">
        <w:rPr>
          <w:rFonts w:ascii="UnitOT-Light" w:hAnsi="UnitOT-Light" w:cstheme="minorBidi"/>
          <w:sz w:val="22"/>
          <w:lang w:val="de-CH"/>
        </w:rPr>
        <w:t>ohne einzelne der 17 SDGs auszulassen oder abzuschwächen</w:t>
      </w:r>
    </w:p>
    <w:p w14:paraId="5052436D" w14:textId="5688582A" w:rsidR="0065164E" w:rsidRPr="00855E16" w:rsidRDefault="0065164E" w:rsidP="00855E16">
      <w:pPr>
        <w:pStyle w:val="Listenabsatz"/>
        <w:numPr>
          <w:ilvl w:val="0"/>
          <w:numId w:val="8"/>
        </w:numPr>
        <w:rPr>
          <w:rFonts w:ascii="UnitOT-Light" w:hAnsi="UnitOT-Light"/>
          <w:lang w:val="de-CH"/>
        </w:rPr>
      </w:pPr>
      <w:r w:rsidRPr="00855E16">
        <w:rPr>
          <w:rFonts w:ascii="UnitOT-Light" w:hAnsi="UnitOT-Light" w:cstheme="minorBidi"/>
          <w:sz w:val="22"/>
          <w:lang w:val="de-CH"/>
        </w:rPr>
        <w:t xml:space="preserve">eine Analyse von Blockaden und Stossrichtungen </w:t>
      </w:r>
      <w:r w:rsidR="00352D1E">
        <w:rPr>
          <w:rFonts w:ascii="UnitOT-Light" w:hAnsi="UnitOT-Light" w:cstheme="minorBidi"/>
          <w:sz w:val="22"/>
          <w:lang w:val="de-CH"/>
        </w:rPr>
        <w:t>zu deren Überwindung</w:t>
      </w:r>
      <w:r w:rsidRPr="00855E16">
        <w:rPr>
          <w:rFonts w:ascii="UnitOT-Light" w:hAnsi="UnitOT-Light" w:cstheme="minorBidi"/>
          <w:sz w:val="22"/>
          <w:lang w:val="de-CH"/>
        </w:rPr>
        <w:t xml:space="preserve"> </w:t>
      </w:r>
    </w:p>
    <w:p w14:paraId="1F2E4B5B" w14:textId="0C768383" w:rsidR="0065164E" w:rsidRPr="00855E16" w:rsidRDefault="00784E5F" w:rsidP="00855E16">
      <w:pPr>
        <w:pStyle w:val="Listenabsatz"/>
        <w:numPr>
          <w:ilvl w:val="0"/>
          <w:numId w:val="8"/>
        </w:numPr>
        <w:rPr>
          <w:rFonts w:ascii="UnitOT-Light" w:hAnsi="UnitOT-Light"/>
          <w:lang w:val="de-CH"/>
        </w:rPr>
      </w:pPr>
      <w:r w:rsidRPr="00855E16">
        <w:rPr>
          <w:rFonts w:ascii="UnitOT-Light" w:hAnsi="UnitOT-Light" w:cstheme="minorBidi"/>
          <w:sz w:val="22"/>
          <w:lang w:val="de-CH"/>
        </w:rPr>
        <w:t xml:space="preserve">messbare Kohäsion auf allen Ebenen </w:t>
      </w:r>
    </w:p>
    <w:p w14:paraId="6C63E301" w14:textId="4A2137F7" w:rsidR="00B87186" w:rsidRPr="00855E16" w:rsidRDefault="00784E5F" w:rsidP="00855E16">
      <w:pPr>
        <w:pStyle w:val="Listenabsatz"/>
        <w:numPr>
          <w:ilvl w:val="0"/>
          <w:numId w:val="8"/>
        </w:numPr>
        <w:rPr>
          <w:rFonts w:ascii="UnitOT-Light" w:hAnsi="UnitOT-Light"/>
          <w:lang w:val="de-CH"/>
        </w:rPr>
      </w:pPr>
      <w:r w:rsidRPr="00855E16">
        <w:rPr>
          <w:rFonts w:ascii="UnitOT-Light" w:hAnsi="UnitOT-Light" w:cstheme="minorBidi"/>
          <w:sz w:val="22"/>
          <w:lang w:val="de-CH"/>
        </w:rPr>
        <w:t>die Einbindung von Schlüsselakteuren aus Wissenschaft, Wirtschaft und Zivilgesellschaft in die Entwicklung eines zielführenden Aktionsplan</w:t>
      </w:r>
      <w:r w:rsidR="00E02480">
        <w:rPr>
          <w:rFonts w:ascii="UnitOT-Light" w:hAnsi="UnitOT-Light" w:cstheme="minorBidi"/>
          <w:sz w:val="22"/>
          <w:lang w:val="de-CH"/>
        </w:rPr>
        <w:t>s</w:t>
      </w:r>
      <w:r w:rsidRPr="00855E16">
        <w:rPr>
          <w:rFonts w:ascii="UnitOT-Light" w:hAnsi="UnitOT-Light" w:cstheme="minorBidi"/>
          <w:sz w:val="22"/>
          <w:lang w:val="de-CH"/>
        </w:rPr>
        <w:t xml:space="preserve">. </w:t>
      </w:r>
    </w:p>
    <w:p w14:paraId="251F2A25" w14:textId="08B39099" w:rsidR="00C924C0" w:rsidRPr="00855E16" w:rsidRDefault="0065164E" w:rsidP="00855E16">
      <w:pPr>
        <w:rPr>
          <w:rFonts w:ascii="UnitOT-Light" w:hAnsi="UnitOT-Light"/>
        </w:rPr>
      </w:pPr>
      <w:r>
        <w:rPr>
          <w:rFonts w:ascii="UnitOT-Light" w:hAnsi="UnitOT-Light"/>
        </w:rPr>
        <w:t xml:space="preserve">Weitere Empfehlungen von SDSN </w:t>
      </w:r>
      <w:r w:rsidR="00FA1F74" w:rsidRPr="00855E16">
        <w:rPr>
          <w:rFonts w:ascii="UnitOT-Light" w:hAnsi="UnitOT-Light"/>
        </w:rPr>
        <w:t xml:space="preserve">finden sich in untenstehender Box und detailliert </w:t>
      </w:r>
      <w:r w:rsidR="00FA1F74" w:rsidRPr="0099618A">
        <w:rPr>
          <w:rFonts w:ascii="UnitOT-Light" w:hAnsi="UnitOT-Light"/>
        </w:rPr>
        <w:t xml:space="preserve">in der </w:t>
      </w:r>
      <w:r w:rsidR="0000155F" w:rsidRPr="0099618A">
        <w:rPr>
          <w:rFonts w:ascii="UnitOT-Light" w:hAnsi="UnitOT-Light"/>
        </w:rPr>
        <w:t>unter Mitwirkung von über 60 Experten</w:t>
      </w:r>
      <w:r w:rsidR="00F058ED">
        <w:rPr>
          <w:rFonts w:ascii="UnitOT-Light" w:hAnsi="UnitOT-Light"/>
        </w:rPr>
        <w:t xml:space="preserve"> und Expertinnen</w:t>
      </w:r>
      <w:r w:rsidR="00503AB4">
        <w:rPr>
          <w:rFonts w:ascii="UnitOT-Light" w:hAnsi="UnitOT-Light"/>
        </w:rPr>
        <w:t xml:space="preserve"> verfassten </w:t>
      </w:r>
      <w:hyperlink r:id="rId6" w:history="1">
        <w:proofErr w:type="spellStart"/>
        <w:r w:rsidR="00FA1F74" w:rsidRPr="0099618A">
          <w:rPr>
            <w:rStyle w:val="Hyperlink"/>
            <w:rFonts w:ascii="UnitOT-Light" w:hAnsi="UnitOT-Light"/>
          </w:rPr>
          <w:t>Vernehmlassungsantwort</w:t>
        </w:r>
        <w:proofErr w:type="spellEnd"/>
        <w:r w:rsidR="0099618A" w:rsidRPr="0099618A">
          <w:rPr>
            <w:rStyle w:val="Hyperlink"/>
            <w:rFonts w:ascii="UnitOT-Light" w:hAnsi="UnitOT-Light"/>
          </w:rPr>
          <w:t xml:space="preserve"> von SDSN</w:t>
        </w:r>
      </w:hyperlink>
      <w:r w:rsidR="00FA1F74" w:rsidRPr="0099618A">
        <w:rPr>
          <w:rFonts w:ascii="UnitOT-Light" w:hAnsi="UnitOT-Light"/>
        </w:rPr>
        <w:t>.</w:t>
      </w:r>
      <w:r w:rsidR="00FA1F74" w:rsidRPr="00855E16">
        <w:rPr>
          <w:rFonts w:ascii="UnitOT-Light" w:hAnsi="UnitOT-Light"/>
        </w:rPr>
        <w:t xml:space="preserve"> </w:t>
      </w:r>
    </w:p>
    <w:p w14:paraId="5FE9A3CB" w14:textId="3741A9F0" w:rsidR="00851312" w:rsidRPr="00851312" w:rsidRDefault="00851312" w:rsidP="00851312">
      <w:pPr>
        <w:rPr>
          <w:b/>
        </w:rPr>
      </w:pPr>
      <w:r w:rsidRPr="00851312">
        <w:rPr>
          <w:b/>
        </w:rPr>
        <w:t xml:space="preserve">Lösungswege </w:t>
      </w:r>
      <w:r w:rsidR="003777ED">
        <w:rPr>
          <w:b/>
        </w:rPr>
        <w:t>brauchen eine starke Schweizer Führungsrolle</w:t>
      </w:r>
    </w:p>
    <w:p w14:paraId="213D80B5" w14:textId="685632C1" w:rsidR="00E12B18" w:rsidRPr="00855E16" w:rsidRDefault="00B87186" w:rsidP="009C49E3">
      <w:pPr>
        <w:rPr>
          <w:rFonts w:ascii="UnitOT-Light" w:hAnsi="UnitOT-Light"/>
        </w:rPr>
      </w:pPr>
      <w:r>
        <w:rPr>
          <w:rFonts w:ascii="UnitOT-Light" w:hAnsi="UnitOT-Light"/>
        </w:rPr>
        <w:t xml:space="preserve">Die Schweiz hat weltweit einen </w:t>
      </w:r>
      <w:r w:rsidR="00855E16">
        <w:rPr>
          <w:rFonts w:ascii="UnitOT-Light" w:hAnsi="UnitOT-Light"/>
        </w:rPr>
        <w:t>stark</w:t>
      </w:r>
      <w:r>
        <w:rPr>
          <w:rFonts w:ascii="UnitOT-Light" w:hAnsi="UnitOT-Light"/>
        </w:rPr>
        <w:t xml:space="preserve"> negativen</w:t>
      </w:r>
      <w:r w:rsidR="00F70382">
        <w:rPr>
          <w:rFonts w:ascii="UnitOT-Light" w:hAnsi="UnitOT-Light"/>
        </w:rPr>
        <w:t xml:space="preserve"> Einf</w:t>
      </w:r>
      <w:r w:rsidR="00855E16">
        <w:rPr>
          <w:rFonts w:ascii="UnitOT-Light" w:hAnsi="UnitOT-Light"/>
        </w:rPr>
        <w:t>luss</w:t>
      </w:r>
      <w:r w:rsidR="00F70382">
        <w:rPr>
          <w:rFonts w:ascii="UnitOT-Light" w:hAnsi="UnitOT-Light"/>
        </w:rPr>
        <w:t xml:space="preserve"> </w:t>
      </w:r>
      <w:r>
        <w:rPr>
          <w:rFonts w:ascii="UnitOT-Light" w:hAnsi="UnitOT-Light"/>
        </w:rPr>
        <w:t xml:space="preserve">auf die Erreichung der globalen </w:t>
      </w:r>
      <w:proofErr w:type="spellStart"/>
      <w:r>
        <w:rPr>
          <w:rFonts w:ascii="UnitOT-Light" w:hAnsi="UnitOT-Light"/>
        </w:rPr>
        <w:t>Nachhhaltigkeitsziele</w:t>
      </w:r>
      <w:proofErr w:type="spellEnd"/>
      <w:r w:rsidR="00855E16">
        <w:rPr>
          <w:rFonts w:ascii="UnitOT-Light" w:hAnsi="UnitOT-Light"/>
        </w:rPr>
        <w:t xml:space="preserve">. Gemessen wir dieser negative Einfluss am </w:t>
      </w:r>
      <w:proofErr w:type="spellStart"/>
      <w:r w:rsidR="00855E16">
        <w:rPr>
          <w:rFonts w:ascii="UnitOT-Light" w:hAnsi="UnitOT-Light"/>
        </w:rPr>
        <w:t>Spillover</w:t>
      </w:r>
      <w:proofErr w:type="spellEnd"/>
      <w:r w:rsidR="00855E16">
        <w:rPr>
          <w:rFonts w:ascii="UnitOT-Light" w:hAnsi="UnitOT-Light"/>
        </w:rPr>
        <w:t xml:space="preserve">, bei dem die Schweiz ganz hinten auf Platz 163 von 165 aller Länder rangiert </w:t>
      </w:r>
      <w:r>
        <w:rPr>
          <w:rFonts w:ascii="UnitOT-Light" w:hAnsi="UnitOT-Light"/>
        </w:rPr>
        <w:t>(vgl. Box).</w:t>
      </w:r>
      <w:r w:rsidR="00F70382" w:rsidRPr="00DD4845">
        <w:rPr>
          <w:rFonts w:ascii="UnitOT-Light" w:hAnsi="UnitOT-Light"/>
        </w:rPr>
        <w:t xml:space="preserve"> </w:t>
      </w:r>
      <w:r w:rsidR="00A4434C">
        <w:rPr>
          <w:rFonts w:ascii="UnitOT-Light" w:hAnsi="UnitOT-Light"/>
        </w:rPr>
        <w:t>Carole Küng,</w:t>
      </w:r>
      <w:r w:rsidR="00E479EA" w:rsidRPr="00855E16">
        <w:rPr>
          <w:rFonts w:ascii="UnitOT-Light" w:hAnsi="UnitOT-Light"/>
        </w:rPr>
        <w:t xml:space="preserve"> Co-Direktorin </w:t>
      </w:r>
      <w:r w:rsidR="008715A6">
        <w:rPr>
          <w:rFonts w:ascii="UnitOT-Light" w:hAnsi="UnitOT-Light"/>
        </w:rPr>
        <w:t>von SDSN</w:t>
      </w:r>
      <w:r w:rsidR="00A4434C">
        <w:rPr>
          <w:rFonts w:ascii="UnitOT-Light" w:hAnsi="UnitOT-Light"/>
        </w:rPr>
        <w:t>,</w:t>
      </w:r>
      <w:r w:rsidR="00851312" w:rsidRPr="00855E16">
        <w:rPr>
          <w:rFonts w:ascii="UnitOT-Light" w:hAnsi="UnitOT-Light"/>
        </w:rPr>
        <w:t xml:space="preserve"> sagt</w:t>
      </w:r>
      <w:r w:rsidR="00A4434C">
        <w:rPr>
          <w:rFonts w:ascii="UnitOT-Light" w:hAnsi="UnitOT-Light"/>
        </w:rPr>
        <w:t xml:space="preserve"> dazu</w:t>
      </w:r>
      <w:r w:rsidR="00E479EA" w:rsidRPr="00855E16">
        <w:rPr>
          <w:rFonts w:ascii="UnitOT-Light" w:hAnsi="UnitOT-Light"/>
        </w:rPr>
        <w:t>:</w:t>
      </w:r>
      <w:r w:rsidR="002D378C" w:rsidRPr="00855E16">
        <w:rPr>
          <w:rFonts w:ascii="UnitOT-Light" w:hAnsi="UnitOT-Light"/>
        </w:rPr>
        <w:t xml:space="preserve"> </w:t>
      </w:r>
      <w:r w:rsidR="00A87E7F" w:rsidRPr="00855E16">
        <w:rPr>
          <w:rFonts w:ascii="UnitOT-Light" w:hAnsi="UnitOT-Light"/>
        </w:rPr>
        <w:t>«Ich erachte es als grosses Missverständnis anzunehmen</w:t>
      </w:r>
      <w:r w:rsidR="006447D9" w:rsidRPr="00855E16">
        <w:rPr>
          <w:rFonts w:ascii="UnitOT-Light" w:hAnsi="UnitOT-Light"/>
        </w:rPr>
        <w:t>,</w:t>
      </w:r>
      <w:r w:rsidR="00A87E7F" w:rsidRPr="00855E16">
        <w:rPr>
          <w:rFonts w:ascii="UnitOT-Light" w:hAnsi="UnitOT-Light"/>
        </w:rPr>
        <w:t xml:space="preserve"> die Schweiz sei zu klein um </w:t>
      </w:r>
      <w:r w:rsidR="006447D9" w:rsidRPr="00855E16">
        <w:rPr>
          <w:rFonts w:ascii="UnitOT-Light" w:hAnsi="UnitOT-Light"/>
        </w:rPr>
        <w:t xml:space="preserve">gegen </w:t>
      </w:r>
      <w:r w:rsidR="00A87E7F" w:rsidRPr="00855E16">
        <w:rPr>
          <w:rFonts w:ascii="UnitOT-Light" w:hAnsi="UnitOT-Light"/>
        </w:rPr>
        <w:t>globale Probleme</w:t>
      </w:r>
      <w:r w:rsidR="00274AC2">
        <w:rPr>
          <w:rFonts w:ascii="UnitOT-Light" w:hAnsi="UnitOT-Light"/>
        </w:rPr>
        <w:t xml:space="preserve"> etwas zu bewirk</w:t>
      </w:r>
      <w:bookmarkStart w:id="0" w:name="_GoBack"/>
      <w:bookmarkEnd w:id="0"/>
      <w:r w:rsidR="006447D9" w:rsidRPr="00855E16">
        <w:rPr>
          <w:rFonts w:ascii="UnitOT-Light" w:hAnsi="UnitOT-Light"/>
        </w:rPr>
        <w:t>en</w:t>
      </w:r>
      <w:r w:rsidR="00A87E7F" w:rsidRPr="00855E16">
        <w:rPr>
          <w:rFonts w:ascii="UnitOT-Light" w:hAnsi="UnitOT-Light"/>
        </w:rPr>
        <w:t>. Unser</w:t>
      </w:r>
      <w:r w:rsidR="00F70382">
        <w:rPr>
          <w:rFonts w:ascii="UnitOT-Light" w:hAnsi="UnitOT-Light"/>
        </w:rPr>
        <w:t xml:space="preserve"> grösster Einfluss auf eine </w:t>
      </w:r>
      <w:r w:rsidR="00A87E7F" w:rsidRPr="00855E16">
        <w:rPr>
          <w:rFonts w:ascii="UnitOT-Light" w:hAnsi="UnitOT-Light"/>
        </w:rPr>
        <w:t xml:space="preserve">Nachhaltige Entwicklung </w:t>
      </w:r>
      <w:r w:rsidR="00E12B18" w:rsidRPr="00855E16">
        <w:rPr>
          <w:rFonts w:ascii="UnitOT-Light" w:hAnsi="UnitOT-Light"/>
        </w:rPr>
        <w:t xml:space="preserve">ist </w:t>
      </w:r>
      <w:r w:rsidR="00A4434C">
        <w:rPr>
          <w:rFonts w:ascii="UnitOT-Light" w:hAnsi="UnitOT-Light"/>
        </w:rPr>
        <w:t>er</w:t>
      </w:r>
      <w:r w:rsidR="00A4434C" w:rsidRPr="00855E16">
        <w:rPr>
          <w:rFonts w:ascii="UnitOT-Light" w:hAnsi="UnitOT-Light"/>
        </w:rPr>
        <w:t xml:space="preserve">wiesenermassen </w:t>
      </w:r>
      <w:r w:rsidR="00147752" w:rsidRPr="00855E16">
        <w:rPr>
          <w:rFonts w:ascii="UnitOT-Light" w:hAnsi="UnitOT-Light"/>
        </w:rPr>
        <w:t>unser</w:t>
      </w:r>
      <w:r w:rsidR="00920C07">
        <w:rPr>
          <w:rFonts w:ascii="UnitOT-Light" w:hAnsi="UnitOT-Light"/>
        </w:rPr>
        <w:t>e</w:t>
      </w:r>
      <w:r w:rsidR="00A87E7F" w:rsidRPr="00855E16">
        <w:rPr>
          <w:rFonts w:ascii="UnitOT-Light" w:hAnsi="UnitOT-Light"/>
        </w:rPr>
        <w:t xml:space="preserve"> global</w:t>
      </w:r>
      <w:r w:rsidR="00147752" w:rsidRPr="00855E16">
        <w:rPr>
          <w:rFonts w:ascii="UnitOT-Light" w:hAnsi="UnitOT-Light"/>
        </w:rPr>
        <w:t>e</w:t>
      </w:r>
      <w:r w:rsidR="009F606B">
        <w:rPr>
          <w:rFonts w:ascii="UnitOT-Light" w:hAnsi="UnitOT-Light"/>
        </w:rPr>
        <w:t xml:space="preserve"> Auswirkung</w:t>
      </w:r>
      <w:r w:rsidR="00147752" w:rsidRPr="00855E16">
        <w:rPr>
          <w:rFonts w:ascii="UnitOT-Light" w:hAnsi="UnitOT-Light"/>
        </w:rPr>
        <w:t>, darunter unser überdimensionierter ökologischer</w:t>
      </w:r>
      <w:r w:rsidR="00A87E7F" w:rsidRPr="00855E16">
        <w:rPr>
          <w:rFonts w:ascii="UnitOT-Light" w:hAnsi="UnitOT-Light"/>
        </w:rPr>
        <w:t xml:space="preserve"> Fussabdruck</w:t>
      </w:r>
      <w:r w:rsidR="00147752" w:rsidRPr="00855E16">
        <w:rPr>
          <w:rFonts w:ascii="UnitOT-Light" w:hAnsi="UnitOT-Light"/>
        </w:rPr>
        <w:t xml:space="preserve"> und unsere Involvierung in nachhaltigkeitsschädliche globale Finanzflüsse.</w:t>
      </w:r>
      <w:r w:rsidR="00A87E7F" w:rsidRPr="00855E16">
        <w:rPr>
          <w:rFonts w:ascii="UnitOT-Light" w:hAnsi="UnitOT-Light"/>
        </w:rPr>
        <w:t xml:space="preserve"> </w:t>
      </w:r>
      <w:r w:rsidR="00E479EA" w:rsidRPr="00855E16">
        <w:rPr>
          <w:rFonts w:ascii="UnitOT-Light" w:hAnsi="UnitOT-Light"/>
        </w:rPr>
        <w:t xml:space="preserve">Lösungen brauchen eine starke </w:t>
      </w:r>
      <w:r w:rsidR="00A87E7F" w:rsidRPr="00855E16">
        <w:rPr>
          <w:rFonts w:ascii="UnitOT-Light" w:hAnsi="UnitOT-Light"/>
        </w:rPr>
        <w:t>Schweizer Führungsrolle</w:t>
      </w:r>
      <w:r w:rsidR="00B75B65">
        <w:rPr>
          <w:rFonts w:ascii="UnitOT-Light" w:hAnsi="UnitOT-Light"/>
        </w:rPr>
        <w:t>.»</w:t>
      </w:r>
    </w:p>
    <w:p w14:paraId="4F7F710D" w14:textId="3A781E35" w:rsidR="00453EC7" w:rsidRPr="00855E16" w:rsidRDefault="00453EC7" w:rsidP="009C49E3">
      <w:pPr>
        <w:pBdr>
          <w:bottom w:val="single" w:sz="6" w:space="1" w:color="auto"/>
        </w:pBdr>
        <w:rPr>
          <w:rFonts w:ascii="UnitOT-Light" w:hAnsi="UnitOT-Light"/>
        </w:rPr>
      </w:pPr>
      <w:r w:rsidRPr="00855E16">
        <w:rPr>
          <w:rFonts w:ascii="UnitOT-Light" w:hAnsi="UnitOT-Light"/>
        </w:rPr>
        <w:t>SDSN</w:t>
      </w:r>
      <w:r w:rsidR="008715A6">
        <w:rPr>
          <w:rFonts w:ascii="UnitOT-Light" w:hAnsi="UnitOT-Light"/>
        </w:rPr>
        <w:t xml:space="preserve"> </w:t>
      </w:r>
      <w:r w:rsidRPr="00855E16">
        <w:rPr>
          <w:rFonts w:ascii="UnitOT-Light" w:hAnsi="UnitOT-Light"/>
        </w:rPr>
        <w:t>ermutigt dazu, die Schweizer Strategie 2030 weiter zu stärken und in sie zu investieren, als Chance zur Bewältigung der aktuellen Krise und als ganzheitliche Antwort auf den EU Green Deal und Bidens 2-Billionen-Klimaplan.</w:t>
      </w:r>
      <w:r w:rsidR="001A76FB" w:rsidRPr="00855E16">
        <w:rPr>
          <w:rFonts w:ascii="UnitOT-Light" w:hAnsi="UnitOT-Light"/>
        </w:rPr>
        <w:t xml:space="preserve"> Als Innovationstreiber kann die Schweiz</w:t>
      </w:r>
      <w:r w:rsidR="00266205">
        <w:rPr>
          <w:rFonts w:ascii="UnitOT-Light" w:hAnsi="UnitOT-Light"/>
        </w:rPr>
        <w:t xml:space="preserve"> durch eine Vorreiterrolle</w:t>
      </w:r>
      <w:r w:rsidR="001A76FB" w:rsidRPr="00855E16">
        <w:rPr>
          <w:rFonts w:ascii="UnitOT-Light" w:hAnsi="UnitOT-Light"/>
        </w:rPr>
        <w:t xml:space="preserve"> nicht nur Wettbewerbsvorteile ausbauen</w:t>
      </w:r>
      <w:r w:rsidR="00B92B45" w:rsidRPr="00855E16">
        <w:rPr>
          <w:rFonts w:ascii="UnitOT-Light" w:hAnsi="UnitOT-Light"/>
        </w:rPr>
        <w:t xml:space="preserve">. </w:t>
      </w:r>
      <w:r w:rsidR="008715A6">
        <w:rPr>
          <w:rFonts w:ascii="UnitOT-Light" w:hAnsi="UnitOT-Light"/>
        </w:rPr>
        <w:t>Sie</w:t>
      </w:r>
      <w:r w:rsidR="00266205">
        <w:rPr>
          <w:rFonts w:ascii="UnitOT-Light" w:hAnsi="UnitOT-Light"/>
        </w:rPr>
        <w:t xml:space="preserve"> kann durch eine Führungsrolle auch </w:t>
      </w:r>
      <w:r w:rsidR="001A76FB" w:rsidRPr="00855E16">
        <w:rPr>
          <w:rFonts w:ascii="UnitOT-Light" w:hAnsi="UnitOT-Light"/>
        </w:rPr>
        <w:t>ihrer humanistischen Tradition und</w:t>
      </w:r>
      <w:r w:rsidR="00B92B45" w:rsidRPr="00855E16">
        <w:rPr>
          <w:rFonts w:ascii="UnitOT-Light" w:hAnsi="UnitOT-Light"/>
        </w:rPr>
        <w:t xml:space="preserve"> ihrer</w:t>
      </w:r>
      <w:r w:rsidR="001A76FB" w:rsidRPr="00855E16">
        <w:rPr>
          <w:rFonts w:ascii="UnitOT-Light" w:hAnsi="UnitOT-Light"/>
        </w:rPr>
        <w:t xml:space="preserve"> Rolle als internationale Vermittlerin von Lösungen gerecht werden.</w:t>
      </w:r>
    </w:p>
    <w:p w14:paraId="6720DCA2" w14:textId="10470787" w:rsidR="001A76FB" w:rsidRDefault="001A76FB" w:rsidP="009C49E3">
      <w:pPr>
        <w:pBdr>
          <w:bottom w:val="single" w:sz="6" w:space="1" w:color="auto"/>
        </w:pBdr>
      </w:pPr>
    </w:p>
    <w:p w14:paraId="48B9E7BE" w14:textId="77777777" w:rsidR="00B87186" w:rsidRPr="00855E16" w:rsidRDefault="00B87186" w:rsidP="00B87186">
      <w:pPr>
        <w:rPr>
          <w:rFonts w:ascii="UnitOT-Medium" w:hAnsi="UnitOT-Medium"/>
        </w:rPr>
      </w:pPr>
      <w:r w:rsidRPr="00855E16">
        <w:rPr>
          <w:rFonts w:ascii="UnitOT-Medium" w:hAnsi="UnitOT-Medium"/>
        </w:rPr>
        <w:lastRenderedPageBreak/>
        <w:t>Global negativer Einfluss der Schweiz auf die Erreichung der SDGs</w:t>
      </w:r>
    </w:p>
    <w:p w14:paraId="1EFC2D28" w14:textId="1CE0D368" w:rsidR="00B87186" w:rsidRDefault="00B87186" w:rsidP="00B87186">
      <w:pPr>
        <w:pBdr>
          <w:bottom w:val="single" w:sz="6" w:space="1" w:color="auto"/>
        </w:pBdr>
        <w:rPr>
          <w:rFonts w:ascii="UnitOT-Light" w:hAnsi="UnitOT-Light"/>
        </w:rPr>
      </w:pPr>
      <w:r w:rsidRPr="00DD4845">
        <w:rPr>
          <w:rFonts w:ascii="UnitOT-Light" w:hAnsi="UnitOT-Light"/>
        </w:rPr>
        <w:t xml:space="preserve">Hervorzuheben ist der negative Einfluss </w:t>
      </w:r>
      <w:r>
        <w:rPr>
          <w:rFonts w:ascii="UnitOT-Light" w:hAnsi="UnitOT-Light"/>
        </w:rPr>
        <w:t>der</w:t>
      </w:r>
      <w:r w:rsidRPr="00DD4845">
        <w:rPr>
          <w:rFonts w:ascii="UnitOT-Light" w:hAnsi="UnitOT-Light"/>
        </w:rPr>
        <w:t xml:space="preserve"> Schweiz </w:t>
      </w:r>
      <w:r>
        <w:rPr>
          <w:rFonts w:ascii="UnitOT-Light" w:hAnsi="UnitOT-Light"/>
        </w:rPr>
        <w:t>auf die Erreichbarkeit der</w:t>
      </w:r>
      <w:r w:rsidRPr="00DD4845">
        <w:rPr>
          <w:rFonts w:ascii="UnitOT-Light" w:hAnsi="UnitOT-Light"/>
        </w:rPr>
        <w:t xml:space="preserve"> globalen Nachhaltigkeitsziele </w:t>
      </w:r>
      <w:r>
        <w:rPr>
          <w:rFonts w:ascii="UnitOT-Light" w:hAnsi="UnitOT-Light"/>
        </w:rPr>
        <w:t xml:space="preserve">in anderen Ländern, welcher auch </w:t>
      </w:r>
      <w:proofErr w:type="spellStart"/>
      <w:r>
        <w:rPr>
          <w:rFonts w:ascii="UnitOT-Light" w:hAnsi="UnitOT-Light"/>
        </w:rPr>
        <w:t>Spillover</w:t>
      </w:r>
      <w:proofErr w:type="spellEnd"/>
      <w:r>
        <w:rPr>
          <w:rFonts w:ascii="UnitOT-Light" w:hAnsi="UnitOT-Light"/>
        </w:rPr>
        <w:t xml:space="preserve">-Effekt </w:t>
      </w:r>
      <w:r w:rsidRPr="00DD4845">
        <w:rPr>
          <w:rFonts w:ascii="UnitOT-Light" w:hAnsi="UnitOT-Light"/>
        </w:rPr>
        <w:t>genannt</w:t>
      </w:r>
      <w:r>
        <w:rPr>
          <w:rFonts w:ascii="UnitOT-Light" w:hAnsi="UnitOT-Light"/>
        </w:rPr>
        <w:t xml:space="preserve"> wird</w:t>
      </w:r>
      <w:r w:rsidRPr="00DD4845">
        <w:rPr>
          <w:rFonts w:ascii="UnitOT-Light" w:hAnsi="UnitOT-Light"/>
        </w:rPr>
        <w:t xml:space="preserve">. Er wird im globalen Nachhaltigkeitsbericht der UN (UN Global </w:t>
      </w:r>
      <w:proofErr w:type="spellStart"/>
      <w:r w:rsidRPr="00DD4845">
        <w:rPr>
          <w:rFonts w:ascii="UnitOT-Light" w:hAnsi="UnitOT-Light"/>
        </w:rPr>
        <w:t>Sustainable</w:t>
      </w:r>
      <w:proofErr w:type="spellEnd"/>
      <w:r w:rsidRPr="00DD4845">
        <w:rPr>
          <w:rFonts w:ascii="UnitOT-Light" w:hAnsi="UnitOT-Light"/>
        </w:rPr>
        <w:t xml:space="preserve"> Development Report 2020) erfasst. Die Schweiz hat einen der höchsten negativen Einflüsse weltweit und rangiert deshalb im Ranking dieses </w:t>
      </w:r>
      <w:proofErr w:type="spellStart"/>
      <w:r w:rsidRPr="00DD4845">
        <w:rPr>
          <w:rFonts w:ascii="UnitOT-Light" w:hAnsi="UnitOT-Light"/>
        </w:rPr>
        <w:t>Spillovers</w:t>
      </w:r>
      <w:proofErr w:type="spellEnd"/>
      <w:r w:rsidRPr="00DD4845">
        <w:rPr>
          <w:rFonts w:ascii="UnitOT-Light" w:hAnsi="UnitOT-Light"/>
        </w:rPr>
        <w:t xml:space="preserve"> ganz hinten auf Platz 163 von 165. </w:t>
      </w:r>
      <w:r>
        <w:rPr>
          <w:rFonts w:ascii="UnitOT-Light" w:hAnsi="UnitOT-Light"/>
        </w:rPr>
        <w:t xml:space="preserve">Dies weil die Schweiz durch den </w:t>
      </w:r>
      <w:r w:rsidRPr="00DD4845">
        <w:rPr>
          <w:rFonts w:ascii="UnitOT-Light" w:hAnsi="UnitOT-Light"/>
        </w:rPr>
        <w:t>Import von Gütern und Dienstleistungen Umweltverschmutzungen, Biodiversitätsverluste und vermeidbare Arbeitsunfälle in den entsprechenden Herkunftsländern verursacht. Aber auch</w:t>
      </w:r>
      <w:r>
        <w:rPr>
          <w:rFonts w:ascii="UnitOT-Light" w:hAnsi="UnitOT-Light"/>
        </w:rPr>
        <w:t>,</w:t>
      </w:r>
      <w:r w:rsidRPr="00DD4845">
        <w:rPr>
          <w:rFonts w:ascii="UnitOT-Light" w:hAnsi="UnitOT-Light"/>
        </w:rPr>
        <w:t xml:space="preserve"> weil die Schweiz als Steueroase dient, Waffen exportiert und die Verlagerung von </w:t>
      </w:r>
      <w:r>
        <w:rPr>
          <w:rFonts w:ascii="UnitOT-Light" w:hAnsi="UnitOT-Light"/>
        </w:rPr>
        <w:t>Gewinnen von multinationalen Unternehmen begünstigt.</w:t>
      </w:r>
    </w:p>
    <w:p w14:paraId="5CEAD9B1" w14:textId="77777777" w:rsidR="00503AB4" w:rsidRPr="00DD4845" w:rsidRDefault="00503AB4" w:rsidP="00B87186">
      <w:pPr>
        <w:rPr>
          <w:rFonts w:ascii="UnitOT-Light" w:hAnsi="UnitOT-Light"/>
        </w:rPr>
      </w:pPr>
    </w:p>
    <w:p w14:paraId="7E738E4A" w14:textId="5BE1D4EF" w:rsidR="00B87186" w:rsidRDefault="00B87186" w:rsidP="009C49E3">
      <w:pPr>
        <w:pBdr>
          <w:bottom w:val="single" w:sz="6" w:space="1" w:color="auto"/>
        </w:pBdr>
      </w:pPr>
    </w:p>
    <w:p w14:paraId="5AF5A474" w14:textId="7EFECFA0" w:rsidR="003777ED" w:rsidRDefault="00C34397">
      <w:pPr>
        <w:rPr>
          <w:rFonts w:ascii="UnitOT-Light" w:hAnsi="UnitOT-Light"/>
        </w:rPr>
      </w:pPr>
      <w:r w:rsidRPr="00855E16">
        <w:rPr>
          <w:rFonts w:ascii="UnitOT-Medium" w:hAnsi="UnitOT-Medium"/>
        </w:rPr>
        <w:t xml:space="preserve">10 Empfehlungen </w:t>
      </w:r>
      <w:r w:rsidR="0008168B">
        <w:rPr>
          <w:rFonts w:ascii="UnitOT-Medium" w:hAnsi="UnitOT-Medium"/>
        </w:rPr>
        <w:t>von SDSN</w:t>
      </w:r>
      <w:r w:rsidRPr="00855E16">
        <w:rPr>
          <w:rFonts w:ascii="UnitOT-Medium" w:hAnsi="UnitOT-Medium"/>
        </w:rPr>
        <w:t xml:space="preserve"> zur Stärkung der </w:t>
      </w:r>
      <w:proofErr w:type="spellStart"/>
      <w:r w:rsidRPr="00855E16">
        <w:rPr>
          <w:rFonts w:ascii="UnitOT-Medium" w:hAnsi="UnitOT-Medium"/>
        </w:rPr>
        <w:t>bundesrätlichen</w:t>
      </w:r>
      <w:proofErr w:type="spellEnd"/>
      <w:r w:rsidRPr="00855E16">
        <w:rPr>
          <w:rFonts w:ascii="UnitOT-Medium" w:hAnsi="UnitOT-Medium"/>
        </w:rPr>
        <w:t xml:space="preserve"> Strategie Nachhaltige Entwicklung 2030</w:t>
      </w:r>
    </w:p>
    <w:p w14:paraId="1CB2D3E1" w14:textId="6255955A" w:rsidR="00C34397" w:rsidRPr="00855E16" w:rsidRDefault="00C34397" w:rsidP="001A76FB">
      <w:pPr>
        <w:rPr>
          <w:rFonts w:ascii="UnitOT-Light" w:hAnsi="UnitOT-Light"/>
        </w:rPr>
      </w:pPr>
      <w:r w:rsidRPr="00855E16">
        <w:rPr>
          <w:rFonts w:ascii="UnitOT-Light" w:hAnsi="UnitOT-Light"/>
        </w:rPr>
        <w:t xml:space="preserve">Details sind der </w:t>
      </w:r>
      <w:hyperlink r:id="rId7" w:history="1">
        <w:proofErr w:type="spellStart"/>
        <w:r w:rsidRPr="0099618A">
          <w:rPr>
            <w:rStyle w:val="Hyperlink"/>
            <w:rFonts w:ascii="UnitOT-Light" w:hAnsi="UnitOT-Light"/>
          </w:rPr>
          <w:t>Ve</w:t>
        </w:r>
        <w:r w:rsidR="0099618A" w:rsidRPr="0099618A">
          <w:rPr>
            <w:rStyle w:val="Hyperlink"/>
            <w:rFonts w:ascii="UnitOT-Light" w:hAnsi="UnitOT-Light"/>
          </w:rPr>
          <w:t>rnehmlassungsantwort</w:t>
        </w:r>
        <w:proofErr w:type="spellEnd"/>
        <w:r w:rsidRPr="0099618A">
          <w:rPr>
            <w:rStyle w:val="Hyperlink"/>
            <w:rFonts w:ascii="UnitOT-Light" w:hAnsi="UnitOT-Light"/>
          </w:rPr>
          <w:t xml:space="preserve"> </w:t>
        </w:r>
        <w:r w:rsidR="00B87186" w:rsidRPr="0099618A">
          <w:rPr>
            <w:rStyle w:val="Hyperlink"/>
            <w:rFonts w:ascii="UnitOT-Light" w:hAnsi="UnitOT-Light"/>
          </w:rPr>
          <w:t xml:space="preserve">des </w:t>
        </w:r>
        <w:proofErr w:type="spellStart"/>
        <w:r w:rsidR="00B87186" w:rsidRPr="0099618A">
          <w:rPr>
            <w:rStyle w:val="Hyperlink"/>
            <w:rFonts w:ascii="UnitOT-Light" w:hAnsi="UnitOT-Light"/>
          </w:rPr>
          <w:t>Sustainable</w:t>
        </w:r>
        <w:proofErr w:type="spellEnd"/>
        <w:r w:rsidR="00B87186" w:rsidRPr="0099618A">
          <w:rPr>
            <w:rStyle w:val="Hyperlink"/>
            <w:rFonts w:ascii="UnitOT-Light" w:hAnsi="UnitOT-Light"/>
          </w:rPr>
          <w:t xml:space="preserve"> Development Solution</w:t>
        </w:r>
        <w:r w:rsidR="006238C1" w:rsidRPr="0099618A">
          <w:rPr>
            <w:rStyle w:val="Hyperlink"/>
            <w:rFonts w:ascii="UnitOT-Light" w:hAnsi="UnitOT-Light"/>
          </w:rPr>
          <w:t>s</w:t>
        </w:r>
        <w:r w:rsidR="00B87186" w:rsidRPr="0099618A">
          <w:rPr>
            <w:rStyle w:val="Hyperlink"/>
            <w:rFonts w:ascii="UnitOT-Light" w:hAnsi="UnitOT-Light"/>
          </w:rPr>
          <w:t xml:space="preserve"> Networks</w:t>
        </w:r>
        <w:r w:rsidRPr="0099618A">
          <w:rPr>
            <w:rStyle w:val="Hyperlink"/>
            <w:rFonts w:ascii="UnitOT-Light" w:hAnsi="UnitOT-Light"/>
          </w:rPr>
          <w:t xml:space="preserve"> </w:t>
        </w:r>
        <w:r w:rsidR="00B87186" w:rsidRPr="0099618A">
          <w:rPr>
            <w:rStyle w:val="Hyperlink"/>
            <w:rFonts w:ascii="UnitOT-Light" w:hAnsi="UnitOT-Light"/>
          </w:rPr>
          <w:t>(SDSN)</w:t>
        </w:r>
      </w:hyperlink>
      <w:r w:rsidR="00B87186">
        <w:rPr>
          <w:rFonts w:ascii="UnitOT-Light" w:hAnsi="UnitOT-Light"/>
        </w:rPr>
        <w:t xml:space="preserve"> </w:t>
      </w:r>
      <w:r w:rsidRPr="00855E16">
        <w:rPr>
          <w:rFonts w:ascii="UnitOT-Light" w:hAnsi="UnitOT-Light"/>
        </w:rPr>
        <w:t>zur vorliegenden Strategie 2030 zu entnehmen.</w:t>
      </w:r>
    </w:p>
    <w:p w14:paraId="13771B22" w14:textId="300A1AB9" w:rsidR="00FF5825" w:rsidRPr="00855E16" w:rsidRDefault="00FF5825" w:rsidP="001A76FB">
      <w:pPr>
        <w:pStyle w:val="Listenabsatz"/>
        <w:numPr>
          <w:ilvl w:val="0"/>
          <w:numId w:val="1"/>
        </w:numPr>
        <w:tabs>
          <w:tab w:val="left" w:pos="500"/>
        </w:tabs>
        <w:spacing w:after="120"/>
        <w:ind w:right="-20"/>
        <w:rPr>
          <w:rFonts w:ascii="UnitOT-Light" w:hAnsi="UnitOT-Light" w:cstheme="minorBidi"/>
          <w:sz w:val="22"/>
          <w:lang w:val="de-CH"/>
        </w:rPr>
      </w:pPr>
      <w:r w:rsidRPr="00855E16">
        <w:rPr>
          <w:rFonts w:ascii="UnitOT-Light" w:hAnsi="UnitOT-Light" w:cstheme="minorBidi"/>
          <w:sz w:val="22"/>
          <w:lang w:val="de-CH"/>
        </w:rPr>
        <w:t xml:space="preserve">Die Dringlichkeit zu Handeln erfordert eine </w:t>
      </w:r>
      <w:r w:rsidR="00920C07" w:rsidRPr="00855E16">
        <w:rPr>
          <w:rFonts w:ascii="UnitOT-Light" w:hAnsi="UnitOT-Light" w:cstheme="minorBidi"/>
          <w:sz w:val="22"/>
          <w:lang w:val="de-CH"/>
        </w:rPr>
        <w:t>starke Schweizer Führungsrolle</w:t>
      </w:r>
    </w:p>
    <w:p w14:paraId="5B58AA43" w14:textId="1298E535" w:rsidR="004F433D" w:rsidRPr="00855E16" w:rsidRDefault="00C34397" w:rsidP="001A76FB">
      <w:pPr>
        <w:pStyle w:val="Listenabsatz"/>
        <w:numPr>
          <w:ilvl w:val="0"/>
          <w:numId w:val="1"/>
        </w:numPr>
        <w:tabs>
          <w:tab w:val="left" w:pos="500"/>
        </w:tabs>
        <w:spacing w:after="120"/>
        <w:ind w:right="-20"/>
        <w:rPr>
          <w:rFonts w:ascii="UnitOT-Light" w:hAnsi="UnitOT-Light" w:cstheme="minorBidi"/>
          <w:b/>
          <w:sz w:val="22"/>
          <w:lang w:val="de-CH"/>
        </w:rPr>
      </w:pPr>
      <w:r w:rsidRPr="00855E16">
        <w:rPr>
          <w:rFonts w:ascii="UnitOT-Light" w:hAnsi="UnitOT-Light" w:cstheme="minorBidi"/>
          <w:sz w:val="22"/>
          <w:lang w:val="de-CH"/>
        </w:rPr>
        <w:t>Die Schweiz soll ihre</w:t>
      </w:r>
      <w:r w:rsidRPr="00855E16">
        <w:rPr>
          <w:rFonts w:ascii="UnitOT-Light" w:hAnsi="UnitOT-Light" w:cstheme="minorBidi"/>
          <w:b/>
          <w:sz w:val="22"/>
          <w:lang w:val="de-CH"/>
        </w:rPr>
        <w:t xml:space="preserve"> grenzüberschreitende Verantwortung wahrnehmen</w:t>
      </w:r>
      <w:r w:rsidRPr="00855E16">
        <w:rPr>
          <w:rFonts w:ascii="UnitOT-Light" w:hAnsi="UnitOT-Light" w:cstheme="minorBidi"/>
          <w:sz w:val="22"/>
          <w:lang w:val="de-CH"/>
        </w:rPr>
        <w:t>, da der grösste Hebel unser globaler Einfluss ist</w:t>
      </w:r>
      <w:r w:rsidRPr="00855E16">
        <w:rPr>
          <w:rFonts w:ascii="UnitOT-Light" w:hAnsi="UnitOT-Light" w:cstheme="minorBidi"/>
          <w:b/>
          <w:sz w:val="22"/>
          <w:lang w:val="de-CH"/>
        </w:rPr>
        <w:t>.</w:t>
      </w:r>
      <w:r w:rsidRPr="00855E16">
        <w:rPr>
          <w:rFonts w:ascii="UnitOT-Light" w:eastAsiaTheme="majorEastAsia" w:hAnsi="UnitOT-Light" w:cstheme="majorBidi"/>
          <w:b/>
          <w:lang w:val="de-CH"/>
        </w:rPr>
        <w:t xml:space="preserve"> </w:t>
      </w:r>
      <w:r w:rsidR="00B273D1" w:rsidRPr="00855E16">
        <w:rPr>
          <w:rFonts w:ascii="UnitOT-Light" w:hAnsi="UnitOT-Light" w:cstheme="minorBidi"/>
          <w:sz w:val="22"/>
          <w:lang w:val="de-CH"/>
        </w:rPr>
        <w:t>SDSN empfiehlt:</w:t>
      </w:r>
    </w:p>
    <w:p w14:paraId="7388AE0B" w14:textId="77777777" w:rsidR="004F433D" w:rsidRPr="00855E16" w:rsidRDefault="00B273D1" w:rsidP="001A76FB">
      <w:pPr>
        <w:pStyle w:val="Listenabsatz"/>
        <w:numPr>
          <w:ilvl w:val="1"/>
          <w:numId w:val="1"/>
        </w:numPr>
        <w:tabs>
          <w:tab w:val="left" w:pos="500"/>
        </w:tabs>
        <w:spacing w:after="120"/>
        <w:ind w:right="-20"/>
        <w:rPr>
          <w:rFonts w:ascii="UnitOT-Light" w:hAnsi="UnitOT-Light" w:cstheme="minorBidi"/>
          <w:sz w:val="22"/>
          <w:lang w:val="de-CH"/>
        </w:rPr>
      </w:pPr>
      <w:r w:rsidRPr="00855E16">
        <w:rPr>
          <w:rFonts w:ascii="UnitOT-Light" w:hAnsi="UnitOT-Light" w:cstheme="minorBidi"/>
          <w:sz w:val="22"/>
          <w:lang w:val="de-CH"/>
        </w:rPr>
        <w:t>Eine m</w:t>
      </w:r>
      <w:r w:rsidR="004F433D" w:rsidRPr="00855E16">
        <w:rPr>
          <w:rFonts w:ascii="UnitOT-Light" w:hAnsi="UnitOT-Light" w:cstheme="minorBidi"/>
          <w:sz w:val="22"/>
          <w:lang w:val="de-CH"/>
        </w:rPr>
        <w:t xml:space="preserve">arkante Reduktion von negativen, grenzüberschreitenden </w:t>
      </w:r>
      <w:proofErr w:type="spellStart"/>
      <w:r w:rsidR="004F433D" w:rsidRPr="00855E16">
        <w:rPr>
          <w:rFonts w:ascii="UnitOT-Light" w:hAnsi="UnitOT-Light" w:cstheme="minorBidi"/>
          <w:sz w:val="22"/>
          <w:lang w:val="de-CH"/>
        </w:rPr>
        <w:t>Spillover</w:t>
      </w:r>
      <w:proofErr w:type="spellEnd"/>
      <w:r w:rsidR="004F433D" w:rsidRPr="00855E16">
        <w:rPr>
          <w:rFonts w:ascii="UnitOT-Light" w:hAnsi="UnitOT-Light" w:cstheme="minorBidi"/>
          <w:sz w:val="22"/>
          <w:lang w:val="de-CH"/>
        </w:rPr>
        <w:t>-Effekten</w:t>
      </w:r>
    </w:p>
    <w:p w14:paraId="5D89D6CD" w14:textId="41BCF3E3" w:rsidR="004F433D" w:rsidRPr="00855E16" w:rsidRDefault="00B273D1" w:rsidP="001A76FB">
      <w:pPr>
        <w:pStyle w:val="Listenabsatz"/>
        <w:numPr>
          <w:ilvl w:val="1"/>
          <w:numId w:val="1"/>
        </w:numPr>
        <w:tabs>
          <w:tab w:val="left" w:pos="500"/>
        </w:tabs>
        <w:spacing w:after="120"/>
        <w:ind w:right="-20"/>
        <w:rPr>
          <w:rFonts w:ascii="UnitOT-Light" w:hAnsi="UnitOT-Light" w:cstheme="minorBidi"/>
          <w:sz w:val="22"/>
          <w:lang w:val="de-CH"/>
        </w:rPr>
      </w:pPr>
      <w:r w:rsidRPr="00855E16">
        <w:rPr>
          <w:rFonts w:ascii="UnitOT-Light" w:hAnsi="UnitOT-Light" w:cstheme="minorBidi"/>
          <w:sz w:val="22"/>
          <w:lang w:val="de-CH"/>
        </w:rPr>
        <w:t xml:space="preserve">Eine </w:t>
      </w:r>
      <w:r w:rsidR="004F433D" w:rsidRPr="00855E16">
        <w:rPr>
          <w:rFonts w:ascii="UnitOT-Light" w:hAnsi="UnitOT-Light" w:cstheme="minorBidi"/>
          <w:sz w:val="22"/>
          <w:lang w:val="de-CH"/>
        </w:rPr>
        <w:t>Verringerung des globalen Fussabdrucks</w:t>
      </w:r>
      <w:r w:rsidR="00453EC7" w:rsidRPr="00855E16">
        <w:rPr>
          <w:rFonts w:ascii="UnitOT-Light" w:hAnsi="UnitOT-Light" w:cstheme="minorBidi"/>
          <w:sz w:val="22"/>
          <w:lang w:val="de-CH"/>
        </w:rPr>
        <w:t xml:space="preserve"> auf das Niveau der planetaren Belastbarkeit</w:t>
      </w:r>
      <w:r w:rsidR="001A76FB" w:rsidRPr="00855E16">
        <w:rPr>
          <w:rFonts w:ascii="UnitOT-Light" w:hAnsi="UnitOT-Light" w:cstheme="minorBidi"/>
          <w:sz w:val="22"/>
          <w:lang w:val="de-CH"/>
        </w:rPr>
        <w:t>,</w:t>
      </w:r>
      <w:r w:rsidR="00453EC7" w:rsidRPr="00855E16">
        <w:rPr>
          <w:rFonts w:ascii="UnitOT-Light" w:hAnsi="UnitOT-Light" w:cstheme="minorBidi"/>
          <w:sz w:val="22"/>
          <w:lang w:val="de-CH"/>
        </w:rPr>
        <w:t xml:space="preserve"> dazu ist </w:t>
      </w:r>
      <w:r w:rsidR="004F433D" w:rsidRPr="00855E16">
        <w:rPr>
          <w:rFonts w:ascii="UnitOT-Light" w:hAnsi="UnitOT-Light" w:cstheme="minorBidi"/>
          <w:sz w:val="22"/>
          <w:lang w:val="de-CH"/>
        </w:rPr>
        <w:t xml:space="preserve">Suffizienz </w:t>
      </w:r>
      <w:r w:rsidR="00453EC7" w:rsidRPr="00855E16">
        <w:rPr>
          <w:rFonts w:ascii="UnitOT-Light" w:hAnsi="UnitOT-Light" w:cstheme="minorBidi"/>
          <w:sz w:val="22"/>
          <w:lang w:val="de-CH"/>
        </w:rPr>
        <w:t>(weniger Ko</w:t>
      </w:r>
      <w:r w:rsidR="005E7302">
        <w:rPr>
          <w:rFonts w:ascii="UnitOT-Light" w:hAnsi="UnitOT-Light" w:cstheme="minorBidi"/>
          <w:sz w:val="22"/>
          <w:lang w:val="de-CH"/>
        </w:rPr>
        <w:t>n</w:t>
      </w:r>
      <w:r w:rsidR="00453EC7" w:rsidRPr="00855E16">
        <w:rPr>
          <w:rFonts w:ascii="UnitOT-Light" w:hAnsi="UnitOT-Light" w:cstheme="minorBidi"/>
          <w:sz w:val="22"/>
          <w:lang w:val="de-CH"/>
        </w:rPr>
        <w:t>sum) nötig</w:t>
      </w:r>
    </w:p>
    <w:p w14:paraId="53E62FA9" w14:textId="0E9DCEFD" w:rsidR="004F433D" w:rsidRPr="00855E16" w:rsidRDefault="001A76FB" w:rsidP="00855E16">
      <w:pPr>
        <w:pStyle w:val="Listenabsatz"/>
        <w:numPr>
          <w:ilvl w:val="1"/>
          <w:numId w:val="1"/>
        </w:numPr>
        <w:tabs>
          <w:tab w:val="left" w:pos="500"/>
        </w:tabs>
        <w:spacing w:after="120"/>
        <w:ind w:right="-20"/>
        <w:rPr>
          <w:rFonts w:asciiTheme="minorHAnsi" w:hAnsiTheme="minorHAnsi" w:cstheme="minorBidi"/>
          <w:sz w:val="22"/>
          <w:lang w:val="en-GB"/>
        </w:rPr>
      </w:pPr>
      <w:r w:rsidRPr="00855E16">
        <w:rPr>
          <w:rFonts w:ascii="UnitOT-Light" w:hAnsi="UnitOT-Light" w:cstheme="minorBidi"/>
          <w:sz w:val="22"/>
          <w:lang w:val="en-GB"/>
        </w:rPr>
        <w:t xml:space="preserve">Die </w:t>
      </w:r>
      <w:proofErr w:type="spellStart"/>
      <w:r w:rsidR="004F433D" w:rsidRPr="00855E16">
        <w:rPr>
          <w:rFonts w:ascii="UnitOT-Light" w:hAnsi="UnitOT-Light" w:cstheme="minorBidi"/>
          <w:sz w:val="22"/>
          <w:lang w:val="en-GB"/>
        </w:rPr>
        <w:t>Verhinderung</w:t>
      </w:r>
      <w:proofErr w:type="spellEnd"/>
      <w:r w:rsidR="004F433D" w:rsidRPr="00855E16">
        <w:rPr>
          <w:rFonts w:ascii="UnitOT-Light" w:hAnsi="UnitOT-Light" w:cstheme="minorBidi"/>
          <w:sz w:val="22"/>
          <w:lang w:val="en-GB"/>
        </w:rPr>
        <w:t xml:space="preserve"> </w:t>
      </w:r>
      <w:proofErr w:type="spellStart"/>
      <w:r w:rsidR="004F433D" w:rsidRPr="00855E16">
        <w:rPr>
          <w:rFonts w:ascii="UnitOT-Light" w:hAnsi="UnitOT-Light" w:cstheme="minorBidi"/>
          <w:sz w:val="22"/>
          <w:lang w:val="en-GB"/>
        </w:rPr>
        <w:t>illegitimer</w:t>
      </w:r>
      <w:proofErr w:type="spellEnd"/>
      <w:r w:rsidR="004F433D" w:rsidRPr="00855E16">
        <w:rPr>
          <w:rFonts w:ascii="UnitOT-Light" w:hAnsi="UnitOT-Light" w:cstheme="minorBidi"/>
          <w:sz w:val="22"/>
          <w:lang w:val="en-GB"/>
        </w:rPr>
        <w:t xml:space="preserve"> </w:t>
      </w:r>
      <w:proofErr w:type="spellStart"/>
      <w:r w:rsidR="004F433D" w:rsidRPr="00855E16">
        <w:rPr>
          <w:rFonts w:ascii="UnitOT-Light" w:hAnsi="UnitOT-Light" w:cstheme="minorBidi"/>
          <w:sz w:val="22"/>
          <w:lang w:val="en-GB"/>
        </w:rPr>
        <w:t>Finanzflüsse</w:t>
      </w:r>
      <w:proofErr w:type="spellEnd"/>
    </w:p>
    <w:p w14:paraId="40BF3BE3" w14:textId="77777777" w:rsidR="004F433D" w:rsidRPr="00855E16" w:rsidRDefault="004F433D" w:rsidP="001A76FB">
      <w:pPr>
        <w:pStyle w:val="Listenabsatz"/>
        <w:numPr>
          <w:ilvl w:val="0"/>
          <w:numId w:val="1"/>
        </w:numPr>
        <w:tabs>
          <w:tab w:val="left" w:pos="500"/>
        </w:tabs>
        <w:spacing w:after="120"/>
        <w:ind w:right="-20"/>
        <w:rPr>
          <w:rFonts w:ascii="UnitOT-Light" w:hAnsi="UnitOT-Light" w:cstheme="minorBidi"/>
          <w:b/>
          <w:sz w:val="22"/>
          <w:lang w:val="de-CH"/>
        </w:rPr>
      </w:pPr>
      <w:r w:rsidRPr="00855E16">
        <w:rPr>
          <w:rFonts w:ascii="UnitOT-Light" w:hAnsi="UnitOT-Light" w:cstheme="minorBidi"/>
          <w:sz w:val="22"/>
          <w:lang w:val="de-CH"/>
        </w:rPr>
        <w:t>Die</w:t>
      </w:r>
      <w:r w:rsidR="001A76FB" w:rsidRPr="00855E16">
        <w:rPr>
          <w:rFonts w:ascii="UnitOT-Light" w:hAnsi="UnitOT-Light" w:cstheme="minorBidi"/>
          <w:sz w:val="22"/>
          <w:lang w:val="de-CH"/>
        </w:rPr>
        <w:t xml:space="preserve"> 10-Jahres</w:t>
      </w:r>
      <w:r w:rsidRPr="00855E16">
        <w:rPr>
          <w:rFonts w:ascii="UnitOT-Light" w:hAnsi="UnitOT-Light" w:cstheme="minorBidi"/>
          <w:sz w:val="22"/>
          <w:lang w:val="de-CH"/>
        </w:rPr>
        <w:t xml:space="preserve"> Strategie braucht ein</w:t>
      </w:r>
      <w:r w:rsidRPr="00855E16">
        <w:rPr>
          <w:rFonts w:ascii="UnitOT-Light" w:hAnsi="UnitOT-Light" w:cstheme="minorBidi"/>
          <w:b/>
          <w:sz w:val="22"/>
          <w:lang w:val="de-CH"/>
        </w:rPr>
        <w:t xml:space="preserve"> wirkungsorientiertes und inklusives Monitoring und Controlling-System</w:t>
      </w:r>
      <w:r w:rsidR="00453EC7" w:rsidRPr="00855E16">
        <w:rPr>
          <w:rFonts w:ascii="UnitOT-Light" w:hAnsi="UnitOT-Light" w:cstheme="minorBidi"/>
          <w:sz w:val="22"/>
          <w:lang w:val="de-CH"/>
        </w:rPr>
        <w:t xml:space="preserve"> sowie ein </w:t>
      </w:r>
      <w:proofErr w:type="spellStart"/>
      <w:r w:rsidRPr="00855E16">
        <w:rPr>
          <w:rFonts w:ascii="UnitOT-Light" w:hAnsi="UnitOT-Light" w:cstheme="minorBidi"/>
          <w:sz w:val="22"/>
          <w:lang w:val="de-CH"/>
        </w:rPr>
        <w:t>Midterm</w:t>
      </w:r>
      <w:proofErr w:type="spellEnd"/>
      <w:r w:rsidRPr="00855E16">
        <w:rPr>
          <w:rFonts w:ascii="UnitOT-Light" w:hAnsi="UnitOT-Light" w:cstheme="minorBidi"/>
          <w:sz w:val="22"/>
          <w:lang w:val="de-CH"/>
        </w:rPr>
        <w:t xml:space="preserve">-Review </w:t>
      </w:r>
      <w:r w:rsidR="001A76FB" w:rsidRPr="00855E16">
        <w:rPr>
          <w:rFonts w:ascii="UnitOT-Light" w:hAnsi="UnitOT-Light" w:cstheme="minorBidi"/>
          <w:sz w:val="22"/>
          <w:lang w:val="de-CH"/>
        </w:rPr>
        <w:t>oder Zwischenziele</w:t>
      </w:r>
    </w:p>
    <w:p w14:paraId="036956F9" w14:textId="77777777" w:rsidR="004F433D" w:rsidRPr="00855E16" w:rsidRDefault="004F433D" w:rsidP="001A76FB">
      <w:pPr>
        <w:pStyle w:val="Listenabsatz"/>
        <w:numPr>
          <w:ilvl w:val="0"/>
          <w:numId w:val="1"/>
        </w:numPr>
        <w:tabs>
          <w:tab w:val="left" w:pos="500"/>
        </w:tabs>
        <w:spacing w:after="120"/>
        <w:ind w:right="-20"/>
        <w:rPr>
          <w:rFonts w:ascii="UnitOT-Light" w:hAnsi="UnitOT-Light" w:cstheme="minorBidi"/>
          <w:b/>
          <w:sz w:val="22"/>
          <w:lang w:val="de-CH"/>
        </w:rPr>
      </w:pPr>
      <w:r w:rsidRPr="00855E16">
        <w:rPr>
          <w:rFonts w:ascii="UnitOT-Light" w:hAnsi="UnitOT-Light" w:cstheme="minorBidi"/>
          <w:b/>
          <w:sz w:val="22"/>
          <w:lang w:val="de-CH"/>
        </w:rPr>
        <w:t>Der Strategie fehlt ein</w:t>
      </w:r>
      <w:r w:rsidR="00453EC7" w:rsidRPr="00855E16">
        <w:rPr>
          <w:rFonts w:ascii="UnitOT-Light" w:hAnsi="UnitOT-Light" w:cstheme="minorBidi"/>
          <w:b/>
          <w:sz w:val="22"/>
          <w:lang w:val="de-CH"/>
        </w:rPr>
        <w:t xml:space="preserve"> Finanzplan </w:t>
      </w:r>
      <w:r w:rsidRPr="00855E16">
        <w:rPr>
          <w:rFonts w:ascii="UnitOT-Light" w:hAnsi="UnitOT-Light" w:cstheme="minorBidi"/>
          <w:b/>
          <w:sz w:val="22"/>
          <w:lang w:val="de-CH"/>
        </w:rPr>
        <w:t xml:space="preserve">und ein Budget für koordinierende </w:t>
      </w:r>
      <w:r w:rsidR="00453EC7" w:rsidRPr="00855E16">
        <w:rPr>
          <w:rFonts w:ascii="UnitOT-Light" w:hAnsi="UnitOT-Light" w:cstheme="minorBidi"/>
          <w:b/>
          <w:sz w:val="22"/>
          <w:lang w:val="de-CH"/>
        </w:rPr>
        <w:t xml:space="preserve">und bereichsübergreifende </w:t>
      </w:r>
      <w:r w:rsidR="0098239C" w:rsidRPr="00855E16">
        <w:rPr>
          <w:rFonts w:ascii="UnitOT-Light" w:hAnsi="UnitOT-Light"/>
          <w:b/>
          <w:sz w:val="22"/>
          <w:lang w:val="de-CH"/>
        </w:rPr>
        <w:t>t</w:t>
      </w:r>
      <w:r w:rsidRPr="00855E16">
        <w:rPr>
          <w:rFonts w:ascii="UnitOT-Light" w:hAnsi="UnitOT-Light" w:cstheme="minorBidi"/>
          <w:b/>
          <w:sz w:val="22"/>
          <w:lang w:val="de-CH"/>
        </w:rPr>
        <w:t xml:space="preserve">ransformative Umsetzungsprojekte </w:t>
      </w:r>
    </w:p>
    <w:p w14:paraId="7B3A4A52" w14:textId="77777777" w:rsidR="00C34397" w:rsidRPr="00855E16" w:rsidRDefault="004F433D" w:rsidP="001A76FB">
      <w:pPr>
        <w:pStyle w:val="Listenabsatz"/>
        <w:numPr>
          <w:ilvl w:val="0"/>
          <w:numId w:val="1"/>
        </w:numPr>
        <w:tabs>
          <w:tab w:val="left" w:pos="500"/>
        </w:tabs>
        <w:spacing w:after="120"/>
        <w:ind w:right="-20"/>
        <w:rPr>
          <w:rFonts w:ascii="UnitOT-Light" w:hAnsi="UnitOT-Light" w:cstheme="minorBidi"/>
          <w:b/>
          <w:sz w:val="22"/>
          <w:lang w:val="de-CH"/>
        </w:rPr>
      </w:pPr>
      <w:r w:rsidRPr="00855E16">
        <w:rPr>
          <w:rFonts w:ascii="UnitOT-Light" w:hAnsi="UnitOT-Light" w:cstheme="minorBidi"/>
          <w:b/>
          <w:sz w:val="22"/>
          <w:lang w:val="de-CH"/>
        </w:rPr>
        <w:t>Die Schweiz braucht eine Strat</w:t>
      </w:r>
      <w:r w:rsidR="00453EC7" w:rsidRPr="00855E16">
        <w:rPr>
          <w:rFonts w:ascii="UnitOT-Light" w:hAnsi="UnitOT-Light" w:cstheme="minorBidi"/>
          <w:b/>
          <w:sz w:val="22"/>
          <w:lang w:val="de-CH"/>
        </w:rPr>
        <w:t xml:space="preserve">egie für nachhaltiges Wachstum </w:t>
      </w:r>
      <w:r w:rsidR="00453EC7" w:rsidRPr="00855E16">
        <w:rPr>
          <w:rFonts w:ascii="UnitOT-Light" w:hAnsi="UnitOT-Light" w:cstheme="minorBidi"/>
          <w:sz w:val="22"/>
          <w:lang w:val="de-CH"/>
        </w:rPr>
        <w:t xml:space="preserve">und </w:t>
      </w:r>
      <w:r w:rsidRPr="00855E16">
        <w:rPr>
          <w:rFonts w:ascii="UnitOT-Light" w:hAnsi="UnitOT-Light" w:cstheme="minorBidi"/>
          <w:sz w:val="22"/>
          <w:lang w:val="de-CH"/>
        </w:rPr>
        <w:t>zielgebundene Wege zu einem n</w:t>
      </w:r>
      <w:r w:rsidR="00453EC7" w:rsidRPr="00855E16">
        <w:rPr>
          <w:rFonts w:ascii="UnitOT-Light" w:hAnsi="UnitOT-Light" w:cstheme="minorBidi"/>
          <w:sz w:val="22"/>
          <w:lang w:val="de-CH"/>
        </w:rPr>
        <w:t>achhaltigen Finanzsystem sowie zu einem zukunftsfähigen Finanzplatz</w:t>
      </w:r>
      <w:r w:rsidRPr="00855E16">
        <w:rPr>
          <w:rFonts w:ascii="UnitOT-Light" w:hAnsi="UnitOT-Light" w:cstheme="minorBidi"/>
          <w:sz w:val="22"/>
          <w:lang w:val="de-CH"/>
        </w:rPr>
        <w:t xml:space="preserve"> Schweiz als wichtiger Pfeiler unseres nationalen Wohlstands</w:t>
      </w:r>
    </w:p>
    <w:p w14:paraId="06423104" w14:textId="2A168166" w:rsidR="00C34397" w:rsidRPr="00855E16" w:rsidRDefault="0000155F" w:rsidP="001A76FB">
      <w:pPr>
        <w:pStyle w:val="Listenabsatz"/>
        <w:numPr>
          <w:ilvl w:val="0"/>
          <w:numId w:val="1"/>
        </w:numPr>
        <w:tabs>
          <w:tab w:val="left" w:pos="500"/>
        </w:tabs>
        <w:spacing w:after="120"/>
        <w:ind w:right="-20"/>
        <w:rPr>
          <w:rFonts w:ascii="UnitOT-Light" w:hAnsi="UnitOT-Light" w:cstheme="minorBidi"/>
          <w:sz w:val="22"/>
          <w:lang w:val="de-CH"/>
        </w:rPr>
      </w:pPr>
      <w:r>
        <w:rPr>
          <w:rFonts w:ascii="UnitOT-Light" w:hAnsi="UnitOT-Light" w:cstheme="minorBidi"/>
          <w:b/>
          <w:sz w:val="22"/>
          <w:lang w:val="de-CH"/>
        </w:rPr>
        <w:t xml:space="preserve">Es </w:t>
      </w:r>
      <w:r w:rsidR="00C06983">
        <w:rPr>
          <w:rFonts w:ascii="UnitOT-Light" w:hAnsi="UnitOT-Light" w:cstheme="minorBidi"/>
          <w:b/>
          <w:sz w:val="22"/>
          <w:lang w:val="de-CH"/>
        </w:rPr>
        <w:t>bedarf einer</w:t>
      </w:r>
      <w:r w:rsidR="001A76FB" w:rsidRPr="00855E16">
        <w:rPr>
          <w:rFonts w:ascii="UnitOT-Light" w:hAnsi="UnitOT-Light" w:cstheme="minorBidi"/>
          <w:b/>
          <w:sz w:val="22"/>
          <w:lang w:val="de-CH"/>
        </w:rPr>
        <w:t xml:space="preserve"> Analyse </w:t>
      </w:r>
      <w:r w:rsidR="001A76FB" w:rsidRPr="0000155F">
        <w:rPr>
          <w:rFonts w:ascii="UnitOT-Light" w:hAnsi="UnitOT-Light" w:cstheme="minorBidi"/>
          <w:b/>
          <w:sz w:val="22"/>
          <w:lang w:val="de-CH"/>
        </w:rPr>
        <w:t xml:space="preserve">von </w:t>
      </w:r>
      <w:r w:rsidR="0098239C" w:rsidRPr="0000155F">
        <w:rPr>
          <w:rFonts w:ascii="UnitOT-Light" w:hAnsi="UnitOT-Light" w:cstheme="minorBidi"/>
          <w:b/>
          <w:sz w:val="22"/>
          <w:lang w:val="de-CH"/>
        </w:rPr>
        <w:t>Blockaden</w:t>
      </w:r>
      <w:r w:rsidR="001A76FB" w:rsidRPr="00855E16">
        <w:rPr>
          <w:rFonts w:ascii="UnitOT-Light" w:hAnsi="UnitOT-Light" w:cstheme="minorBidi"/>
          <w:sz w:val="22"/>
          <w:lang w:val="de-CH"/>
        </w:rPr>
        <w:t xml:space="preserve"> und Stossrichtungen </w:t>
      </w:r>
      <w:r w:rsidR="00B55C5B">
        <w:rPr>
          <w:rFonts w:ascii="UnitOT-Light" w:hAnsi="UnitOT-Light" w:cstheme="minorBidi"/>
          <w:sz w:val="22"/>
          <w:lang w:val="de-CH"/>
        </w:rPr>
        <w:t>zu deren Überwind</w:t>
      </w:r>
      <w:r>
        <w:rPr>
          <w:rFonts w:ascii="UnitOT-Light" w:hAnsi="UnitOT-Light" w:cstheme="minorBidi"/>
          <w:sz w:val="22"/>
          <w:lang w:val="de-CH"/>
        </w:rPr>
        <w:t>ung</w:t>
      </w:r>
    </w:p>
    <w:p w14:paraId="345F186E" w14:textId="77777777" w:rsidR="00453EC7" w:rsidRPr="00855E16" w:rsidRDefault="00B273D1" w:rsidP="001A76FB">
      <w:pPr>
        <w:pStyle w:val="Listenabsatz"/>
        <w:numPr>
          <w:ilvl w:val="0"/>
          <w:numId w:val="1"/>
        </w:numPr>
        <w:tabs>
          <w:tab w:val="left" w:pos="500"/>
        </w:tabs>
        <w:spacing w:after="120"/>
        <w:ind w:right="-20"/>
        <w:rPr>
          <w:rFonts w:ascii="UnitOT-Light" w:hAnsi="UnitOT-Light" w:cstheme="minorBidi"/>
          <w:b/>
          <w:sz w:val="22"/>
          <w:lang w:val="de-CH"/>
        </w:rPr>
      </w:pPr>
      <w:r w:rsidRPr="00855E16">
        <w:rPr>
          <w:rFonts w:ascii="UnitOT-Light" w:hAnsi="UnitOT-Light" w:cstheme="minorBidi"/>
          <w:b/>
          <w:sz w:val="22"/>
          <w:lang w:val="de-CH"/>
        </w:rPr>
        <w:t>Nachhaltigkeit</w:t>
      </w:r>
      <w:r w:rsidR="001A76FB" w:rsidRPr="00855E16">
        <w:rPr>
          <w:rFonts w:ascii="UnitOT-Light" w:hAnsi="UnitOT-Light" w:cstheme="minorBidi"/>
          <w:b/>
          <w:sz w:val="22"/>
          <w:lang w:val="de-CH"/>
        </w:rPr>
        <w:t xml:space="preserve"> ist als</w:t>
      </w:r>
      <w:r w:rsidRPr="00855E16">
        <w:rPr>
          <w:rFonts w:ascii="UnitOT-Light" w:hAnsi="UnitOT-Light" w:cstheme="minorBidi"/>
          <w:b/>
          <w:sz w:val="22"/>
          <w:lang w:val="de-CH"/>
        </w:rPr>
        <w:t xml:space="preserve"> </w:t>
      </w:r>
      <w:r w:rsidR="0098239C" w:rsidRPr="00855E16">
        <w:rPr>
          <w:rFonts w:ascii="UnitOT-Light" w:hAnsi="UnitOT-Light" w:cstheme="minorBidi"/>
          <w:b/>
          <w:sz w:val="22"/>
          <w:lang w:val="de-CH"/>
        </w:rPr>
        <w:t>Chance zur Bewältigung der</w:t>
      </w:r>
      <w:r w:rsidRPr="00855E16">
        <w:rPr>
          <w:rFonts w:ascii="UnitOT-Light" w:hAnsi="UnitOT-Light" w:cstheme="minorBidi"/>
          <w:b/>
          <w:sz w:val="22"/>
          <w:lang w:val="de-CH"/>
        </w:rPr>
        <w:t xml:space="preserve"> aktuelle</w:t>
      </w:r>
      <w:r w:rsidR="0098239C" w:rsidRPr="00855E16">
        <w:rPr>
          <w:rFonts w:ascii="UnitOT-Light" w:hAnsi="UnitOT-Light" w:cstheme="minorBidi"/>
          <w:b/>
          <w:sz w:val="22"/>
          <w:lang w:val="de-CH"/>
        </w:rPr>
        <w:t>n</w:t>
      </w:r>
      <w:r w:rsidRPr="00855E16">
        <w:rPr>
          <w:rFonts w:ascii="UnitOT-Light" w:hAnsi="UnitOT-Light" w:cstheme="minorBidi"/>
          <w:b/>
          <w:sz w:val="22"/>
          <w:lang w:val="de-CH"/>
        </w:rPr>
        <w:t xml:space="preserve"> Krise und als komparativer Vorteil der Schweiz</w:t>
      </w:r>
      <w:r w:rsidR="001A76FB" w:rsidRPr="00855E16">
        <w:rPr>
          <w:rFonts w:ascii="UnitOT-Light" w:hAnsi="UnitOT-Light" w:cstheme="minorBidi"/>
          <w:b/>
          <w:sz w:val="22"/>
          <w:lang w:val="de-CH"/>
        </w:rPr>
        <w:t xml:space="preserve"> ausbauen</w:t>
      </w:r>
    </w:p>
    <w:p w14:paraId="3F3913B8" w14:textId="2F50318A" w:rsidR="00B273D1" w:rsidRPr="00855E16" w:rsidRDefault="00C34397" w:rsidP="001A76FB">
      <w:pPr>
        <w:pStyle w:val="Listenabsatz"/>
        <w:numPr>
          <w:ilvl w:val="0"/>
          <w:numId w:val="1"/>
        </w:numPr>
        <w:tabs>
          <w:tab w:val="left" w:pos="500"/>
        </w:tabs>
        <w:spacing w:after="120"/>
        <w:ind w:right="-20"/>
        <w:rPr>
          <w:rFonts w:ascii="UnitOT-Light" w:hAnsi="UnitOT-Light" w:cstheme="minorBidi"/>
          <w:b/>
          <w:sz w:val="22"/>
          <w:lang w:val="de-CH"/>
        </w:rPr>
      </w:pPr>
      <w:r w:rsidRPr="00855E16">
        <w:rPr>
          <w:rFonts w:ascii="UnitOT-Light" w:hAnsi="UnitOT-Light" w:cstheme="minorBidi"/>
          <w:b/>
          <w:sz w:val="22"/>
          <w:lang w:val="de-CH"/>
        </w:rPr>
        <w:t>Systemische</w:t>
      </w:r>
      <w:r w:rsidR="00B273D1" w:rsidRPr="00855E16">
        <w:rPr>
          <w:rFonts w:ascii="UnitOT-Light" w:hAnsi="UnitOT-Light" w:cstheme="minorBidi"/>
          <w:b/>
          <w:sz w:val="22"/>
          <w:lang w:val="de-CH"/>
        </w:rPr>
        <w:t xml:space="preserve"> Treibe</w:t>
      </w:r>
      <w:r w:rsidRPr="00855E16">
        <w:rPr>
          <w:rFonts w:ascii="UnitOT-Light" w:hAnsi="UnitOT-Light" w:cstheme="minorBidi"/>
          <w:b/>
          <w:sz w:val="22"/>
          <w:lang w:val="de-CH"/>
        </w:rPr>
        <w:t>r und relevante</w:t>
      </w:r>
      <w:r w:rsidR="00B273D1" w:rsidRPr="00855E16">
        <w:rPr>
          <w:rFonts w:ascii="UnitOT-Light" w:hAnsi="UnitOT-Light" w:cstheme="minorBidi"/>
          <w:b/>
          <w:sz w:val="22"/>
          <w:lang w:val="de-CH"/>
        </w:rPr>
        <w:t xml:space="preserve"> Akteure</w:t>
      </w:r>
      <w:r w:rsidR="001A76FB" w:rsidRPr="00855E16">
        <w:rPr>
          <w:rFonts w:ascii="UnitOT-Light" w:hAnsi="UnitOT-Light" w:cstheme="minorBidi"/>
          <w:b/>
          <w:sz w:val="22"/>
          <w:lang w:val="de-CH"/>
        </w:rPr>
        <w:t xml:space="preserve"> sollten in</w:t>
      </w:r>
      <w:r w:rsidRPr="00855E16">
        <w:rPr>
          <w:rFonts w:ascii="UnitOT-Light" w:hAnsi="UnitOT-Light" w:cstheme="minorBidi"/>
          <w:b/>
          <w:sz w:val="22"/>
          <w:lang w:val="de-CH"/>
        </w:rPr>
        <w:t xml:space="preserve"> wissen</w:t>
      </w:r>
      <w:r w:rsidR="004724F4">
        <w:rPr>
          <w:rFonts w:ascii="UnitOT-Light" w:hAnsi="UnitOT-Light" w:cstheme="minorBidi"/>
          <w:b/>
          <w:sz w:val="22"/>
          <w:lang w:val="de-CH"/>
        </w:rPr>
        <w:t>s</w:t>
      </w:r>
      <w:r w:rsidRPr="00855E16">
        <w:rPr>
          <w:rFonts w:ascii="UnitOT-Light" w:hAnsi="UnitOT-Light" w:cstheme="minorBidi"/>
          <w:b/>
          <w:sz w:val="22"/>
          <w:lang w:val="de-CH"/>
        </w:rPr>
        <w:t>basierte Entscheidungsfindung eingebunden werden</w:t>
      </w:r>
    </w:p>
    <w:p w14:paraId="0BB658EE" w14:textId="362D2154" w:rsidR="00C34397" w:rsidRPr="00855E16" w:rsidRDefault="00B273D1" w:rsidP="001A76FB">
      <w:pPr>
        <w:pStyle w:val="Listenabsatz"/>
        <w:numPr>
          <w:ilvl w:val="0"/>
          <w:numId w:val="1"/>
        </w:numPr>
        <w:tabs>
          <w:tab w:val="left" w:pos="500"/>
        </w:tabs>
        <w:spacing w:after="120"/>
        <w:ind w:right="-20"/>
        <w:rPr>
          <w:rFonts w:ascii="UnitOT-Light" w:hAnsi="UnitOT-Light" w:cstheme="minorBidi"/>
          <w:sz w:val="22"/>
          <w:lang w:val="de-CH"/>
        </w:rPr>
      </w:pPr>
      <w:r w:rsidRPr="00855E16">
        <w:rPr>
          <w:rFonts w:ascii="UnitOT-Light" w:hAnsi="UnitOT-Light" w:cstheme="minorBidi"/>
          <w:b/>
          <w:sz w:val="22"/>
          <w:lang w:val="de-CH"/>
        </w:rPr>
        <w:t xml:space="preserve">Die SDGs </w:t>
      </w:r>
      <w:r w:rsidR="00C34397" w:rsidRPr="00855E16">
        <w:rPr>
          <w:rFonts w:ascii="UnitOT-Light" w:hAnsi="UnitOT-Light" w:cstheme="minorBidi"/>
          <w:b/>
          <w:sz w:val="22"/>
          <w:lang w:val="de-CH"/>
        </w:rPr>
        <w:t xml:space="preserve">sind </w:t>
      </w:r>
      <w:r w:rsidRPr="00855E16">
        <w:rPr>
          <w:rFonts w:ascii="UnitOT-Light" w:hAnsi="UnitOT-Light" w:cstheme="minorBidi"/>
          <w:b/>
          <w:sz w:val="22"/>
          <w:lang w:val="de-CH"/>
        </w:rPr>
        <w:t>als Ganzes ambitioniert an</w:t>
      </w:r>
      <w:r w:rsidR="00B55C5B">
        <w:rPr>
          <w:rFonts w:ascii="UnitOT-Light" w:hAnsi="UnitOT-Light" w:cstheme="minorBidi"/>
          <w:b/>
          <w:sz w:val="22"/>
          <w:lang w:val="de-CH"/>
        </w:rPr>
        <w:t>zu</w:t>
      </w:r>
      <w:r w:rsidRPr="00855E16">
        <w:rPr>
          <w:rFonts w:ascii="UnitOT-Light" w:hAnsi="UnitOT-Light" w:cstheme="minorBidi"/>
          <w:b/>
          <w:sz w:val="22"/>
          <w:lang w:val="de-CH"/>
        </w:rPr>
        <w:t>gehen</w:t>
      </w:r>
      <w:r w:rsidR="00C34397" w:rsidRPr="00855E16">
        <w:rPr>
          <w:rFonts w:ascii="UnitOT-Light" w:hAnsi="UnitOT-Light" w:cstheme="minorBidi"/>
          <w:sz w:val="22"/>
          <w:lang w:val="de-CH"/>
        </w:rPr>
        <w:t>: Kein Cherry-</w:t>
      </w:r>
      <w:proofErr w:type="spellStart"/>
      <w:r w:rsidR="00C34397" w:rsidRPr="00855E16">
        <w:rPr>
          <w:rFonts w:ascii="UnitOT-Light" w:hAnsi="UnitOT-Light" w:cstheme="minorBidi"/>
          <w:sz w:val="22"/>
          <w:lang w:val="de-CH"/>
        </w:rPr>
        <w:t>picking</w:t>
      </w:r>
      <w:proofErr w:type="spellEnd"/>
      <w:r w:rsidR="00C34397" w:rsidRPr="00855E16">
        <w:rPr>
          <w:rFonts w:ascii="UnitOT-Light" w:hAnsi="UnitOT-Light" w:cstheme="minorBidi"/>
          <w:sz w:val="22"/>
          <w:lang w:val="de-CH"/>
        </w:rPr>
        <w:t xml:space="preserve"> und keine Abschwächung der Ziele</w:t>
      </w:r>
    </w:p>
    <w:p w14:paraId="6D7E6931" w14:textId="77777777" w:rsidR="00B273D1" w:rsidRPr="00855E16" w:rsidRDefault="00B273D1" w:rsidP="001A76FB">
      <w:pPr>
        <w:pStyle w:val="Listenabsatz"/>
        <w:numPr>
          <w:ilvl w:val="0"/>
          <w:numId w:val="1"/>
        </w:numPr>
        <w:pBdr>
          <w:bottom w:val="single" w:sz="6" w:space="1" w:color="auto"/>
        </w:pBdr>
        <w:tabs>
          <w:tab w:val="left" w:pos="500"/>
        </w:tabs>
        <w:spacing w:after="120"/>
        <w:ind w:right="-20"/>
        <w:rPr>
          <w:rFonts w:ascii="UnitOT-Light" w:hAnsi="UnitOT-Light" w:cstheme="minorBidi"/>
          <w:b/>
          <w:sz w:val="22"/>
          <w:lang w:val="de-CH"/>
        </w:rPr>
      </w:pPr>
      <w:r w:rsidRPr="00855E16">
        <w:rPr>
          <w:rFonts w:ascii="UnitOT-Light" w:hAnsi="UnitOT-Light" w:cstheme="minorBidi"/>
          <w:b/>
          <w:sz w:val="22"/>
          <w:lang w:val="de-CH"/>
        </w:rPr>
        <w:t xml:space="preserve">Politikkohärenz </w:t>
      </w:r>
      <w:r w:rsidR="00C34397" w:rsidRPr="00855E16">
        <w:rPr>
          <w:rFonts w:ascii="UnitOT-Light" w:hAnsi="UnitOT-Light" w:cstheme="minorBidi"/>
          <w:b/>
          <w:sz w:val="22"/>
          <w:lang w:val="de-CH"/>
        </w:rPr>
        <w:t xml:space="preserve">ist </w:t>
      </w:r>
      <w:r w:rsidRPr="00855E16">
        <w:rPr>
          <w:rFonts w:ascii="UnitOT-Light" w:hAnsi="UnitOT-Light" w:cstheme="minorBidi"/>
          <w:b/>
          <w:sz w:val="22"/>
          <w:lang w:val="de-CH"/>
        </w:rPr>
        <w:t>auf</w:t>
      </w:r>
      <w:r w:rsidR="00C34397" w:rsidRPr="00855E16">
        <w:rPr>
          <w:rFonts w:ascii="UnitOT-Light" w:hAnsi="UnitOT-Light" w:cstheme="minorBidi"/>
          <w:b/>
          <w:sz w:val="22"/>
          <w:lang w:val="de-CH"/>
        </w:rPr>
        <w:t xml:space="preserve"> allen Ebenen messbar </w:t>
      </w:r>
      <w:r w:rsidR="001A76FB" w:rsidRPr="00855E16">
        <w:rPr>
          <w:rFonts w:ascii="UnitOT-Light" w:hAnsi="UnitOT-Light" w:cstheme="minorBidi"/>
          <w:b/>
          <w:sz w:val="22"/>
          <w:lang w:val="de-CH"/>
        </w:rPr>
        <w:t xml:space="preserve">zu </w:t>
      </w:r>
      <w:r w:rsidR="00C34397" w:rsidRPr="00855E16">
        <w:rPr>
          <w:rFonts w:ascii="UnitOT-Light" w:hAnsi="UnitOT-Light" w:cstheme="minorBidi"/>
          <w:b/>
          <w:sz w:val="22"/>
          <w:lang w:val="de-CH"/>
        </w:rPr>
        <w:t>verbessern</w:t>
      </w:r>
    </w:p>
    <w:p w14:paraId="259668A0" w14:textId="41DCF043" w:rsidR="001A76FB" w:rsidRDefault="001A76FB" w:rsidP="001A76FB">
      <w:pPr>
        <w:tabs>
          <w:tab w:val="left" w:pos="500"/>
        </w:tabs>
        <w:spacing w:after="120"/>
        <w:ind w:right="-20"/>
        <w:rPr>
          <w:b/>
        </w:rPr>
      </w:pPr>
    </w:p>
    <w:p w14:paraId="53FA0485" w14:textId="6EC6ADF4" w:rsidR="000C579D" w:rsidRPr="00855E16" w:rsidRDefault="000C579D" w:rsidP="00855E16">
      <w:pPr>
        <w:pBdr>
          <w:top w:val="single" w:sz="4" w:space="1" w:color="auto"/>
          <w:left w:val="single" w:sz="4" w:space="4" w:color="auto"/>
          <w:bottom w:val="single" w:sz="4" w:space="1" w:color="auto"/>
          <w:right w:val="single" w:sz="4" w:space="4" w:color="auto"/>
        </w:pBdr>
        <w:tabs>
          <w:tab w:val="left" w:pos="500"/>
        </w:tabs>
        <w:spacing w:after="120"/>
        <w:ind w:right="-20"/>
        <w:rPr>
          <w:rFonts w:ascii="UnitOT-Medium" w:hAnsi="UnitOT-Medium"/>
        </w:rPr>
      </w:pPr>
      <w:r w:rsidRPr="00855E16">
        <w:rPr>
          <w:rFonts w:ascii="UnitOT-Medium" w:hAnsi="UnitOT-Medium"/>
        </w:rPr>
        <w:t>Pressekontakt</w:t>
      </w:r>
    </w:p>
    <w:p w14:paraId="1137CD46" w14:textId="58825228" w:rsidR="003936E1" w:rsidRPr="00855E16" w:rsidRDefault="003936E1" w:rsidP="00855E16">
      <w:pPr>
        <w:pBdr>
          <w:top w:val="single" w:sz="4" w:space="1" w:color="auto"/>
          <w:left w:val="single" w:sz="4" w:space="4" w:color="auto"/>
          <w:bottom w:val="single" w:sz="4" w:space="1" w:color="auto"/>
          <w:right w:val="single" w:sz="4" w:space="4" w:color="auto"/>
        </w:pBdr>
        <w:tabs>
          <w:tab w:val="left" w:pos="500"/>
        </w:tabs>
        <w:spacing w:after="120"/>
        <w:ind w:right="-20"/>
        <w:rPr>
          <w:rFonts w:ascii="UnitOT-Medium" w:hAnsi="UnitOT-Medium"/>
        </w:rPr>
      </w:pPr>
      <w:r w:rsidRPr="00855E16">
        <w:rPr>
          <w:rFonts w:ascii="UnitOT-Medium" w:hAnsi="UnitOT-Medium"/>
        </w:rPr>
        <w:t xml:space="preserve">Für </w:t>
      </w:r>
      <w:r w:rsidR="005D61D6" w:rsidRPr="00855E16">
        <w:rPr>
          <w:rFonts w:ascii="UnitOT-Medium" w:hAnsi="UnitOT-Medium"/>
        </w:rPr>
        <w:t>Fragen</w:t>
      </w:r>
      <w:r w:rsidR="000C579D">
        <w:rPr>
          <w:rFonts w:ascii="UnitOT-Medium" w:hAnsi="UnitOT-Medium"/>
        </w:rPr>
        <w:t xml:space="preserve"> und Interviews</w:t>
      </w:r>
      <w:r w:rsidRPr="00855E16">
        <w:rPr>
          <w:rFonts w:ascii="UnitOT-Medium" w:hAnsi="UnitOT-Medium"/>
        </w:rPr>
        <w:t xml:space="preserve"> steht ihnen gerne zur Verfügung</w:t>
      </w:r>
      <w:r w:rsidR="000C579D" w:rsidRPr="00855E16">
        <w:rPr>
          <w:rFonts w:ascii="UnitOT-Medium" w:hAnsi="UnitOT-Medium"/>
        </w:rPr>
        <w:t>:</w:t>
      </w:r>
    </w:p>
    <w:p w14:paraId="0D833F5B" w14:textId="1A96A18C" w:rsidR="003936E1" w:rsidRPr="00855E16" w:rsidRDefault="003936E1" w:rsidP="00855E16">
      <w:pPr>
        <w:pBdr>
          <w:top w:val="single" w:sz="4" w:space="1" w:color="auto"/>
          <w:left w:val="single" w:sz="4" w:space="4" w:color="auto"/>
          <w:bottom w:val="single" w:sz="4" w:space="1" w:color="auto"/>
          <w:right w:val="single" w:sz="4" w:space="4" w:color="auto"/>
        </w:pBdr>
        <w:tabs>
          <w:tab w:val="left" w:pos="500"/>
        </w:tabs>
        <w:spacing w:after="120"/>
        <w:ind w:right="-20"/>
        <w:rPr>
          <w:rFonts w:ascii="UnitOT-Light" w:hAnsi="UnitOT-Light"/>
          <w:b/>
        </w:rPr>
      </w:pPr>
      <w:r w:rsidRPr="00855E16">
        <w:rPr>
          <w:rFonts w:ascii="UnitOT-Light" w:hAnsi="UnitOT-Light"/>
          <w:b/>
        </w:rPr>
        <w:t xml:space="preserve">Carole Küng, Co-Direktorin SDSN </w:t>
      </w:r>
      <w:proofErr w:type="spellStart"/>
      <w:r w:rsidRPr="00855E16">
        <w:rPr>
          <w:rFonts w:ascii="UnitOT-Light" w:hAnsi="UnitOT-Light"/>
          <w:b/>
        </w:rPr>
        <w:t>Switzerland</w:t>
      </w:r>
      <w:proofErr w:type="spellEnd"/>
      <w:r w:rsidR="003777ED" w:rsidRPr="00855E16">
        <w:rPr>
          <w:rFonts w:ascii="UnitOT-Light" w:hAnsi="UnitOT-Light"/>
          <w:b/>
        </w:rPr>
        <w:t xml:space="preserve">, </w:t>
      </w:r>
      <w:r w:rsidRPr="00855E16">
        <w:rPr>
          <w:rFonts w:ascii="UnitOT-Light" w:hAnsi="UnitOT-Light"/>
          <w:b/>
        </w:rPr>
        <w:t>Telefon: 0774477946, Mail: c.kueng@biovision.ch</w:t>
      </w:r>
    </w:p>
    <w:p w14:paraId="7F222BBE" w14:textId="77777777" w:rsidR="001A76FB" w:rsidRPr="003936E1" w:rsidRDefault="001A76FB" w:rsidP="001A76FB">
      <w:pPr>
        <w:pStyle w:val="Listenabsatz"/>
        <w:tabs>
          <w:tab w:val="left" w:pos="500"/>
        </w:tabs>
        <w:spacing w:after="120"/>
        <w:ind w:right="-20"/>
        <w:rPr>
          <w:rFonts w:asciiTheme="minorHAnsi" w:hAnsiTheme="minorHAnsi" w:cstheme="minorBidi"/>
          <w:b/>
          <w:sz w:val="22"/>
          <w:lang w:val="de-CH"/>
        </w:rPr>
      </w:pPr>
    </w:p>
    <w:p w14:paraId="75566A5A" w14:textId="5CD56516" w:rsidR="00855E16" w:rsidRPr="00855E16" w:rsidRDefault="00855E16" w:rsidP="00855E16">
      <w:pPr>
        <w:pBdr>
          <w:top w:val="single" w:sz="4" w:space="1" w:color="auto"/>
          <w:left w:val="single" w:sz="4" w:space="4" w:color="auto"/>
          <w:bottom w:val="single" w:sz="4" w:space="1" w:color="auto"/>
          <w:right w:val="single" w:sz="4" w:space="4" w:color="auto"/>
        </w:pBdr>
        <w:rPr>
          <w:rFonts w:ascii="UnitOT-Medium" w:hAnsi="UnitOT-Medium"/>
        </w:rPr>
      </w:pPr>
      <w:r w:rsidRPr="00855E16">
        <w:rPr>
          <w:rFonts w:ascii="UnitOT-Medium" w:hAnsi="UnitOT-Medium"/>
        </w:rPr>
        <w:t xml:space="preserve">Das </w:t>
      </w:r>
      <w:proofErr w:type="spellStart"/>
      <w:r w:rsidRPr="00855E16">
        <w:rPr>
          <w:rFonts w:ascii="UnitOT-Medium" w:hAnsi="UnitOT-Medium"/>
        </w:rPr>
        <w:t>Sustainable</w:t>
      </w:r>
      <w:proofErr w:type="spellEnd"/>
      <w:r w:rsidRPr="00855E16">
        <w:rPr>
          <w:rFonts w:ascii="UnitOT-Medium" w:hAnsi="UnitOT-Medium"/>
        </w:rPr>
        <w:t xml:space="preserve"> Development Solution</w:t>
      </w:r>
      <w:r w:rsidR="006238C1">
        <w:rPr>
          <w:rFonts w:ascii="UnitOT-Medium" w:hAnsi="UnitOT-Medium"/>
        </w:rPr>
        <w:t>s</w:t>
      </w:r>
      <w:r w:rsidRPr="00855E16">
        <w:rPr>
          <w:rFonts w:ascii="UnitOT-Medium" w:hAnsi="UnitOT-Medium"/>
        </w:rPr>
        <w:t xml:space="preserve"> Network als </w:t>
      </w:r>
      <w:r>
        <w:rPr>
          <w:rFonts w:ascii="UnitOT-Medium" w:hAnsi="UnitOT-Medium"/>
        </w:rPr>
        <w:t xml:space="preserve">Teil von </w:t>
      </w:r>
      <w:r w:rsidRPr="00855E16">
        <w:rPr>
          <w:rFonts w:ascii="UnitOT-Medium" w:hAnsi="UnitOT-Medium"/>
        </w:rPr>
        <w:t>UN SDSN</w:t>
      </w:r>
      <w:r>
        <w:rPr>
          <w:rFonts w:ascii="UnitOT-Medium" w:hAnsi="UnitOT-Medium"/>
        </w:rPr>
        <w:t xml:space="preserve"> </w:t>
      </w:r>
    </w:p>
    <w:p w14:paraId="26B1F28D" w14:textId="61AE433D" w:rsidR="00AA520E" w:rsidRDefault="00FA1F74" w:rsidP="00855E16">
      <w:pPr>
        <w:pBdr>
          <w:top w:val="single" w:sz="4" w:space="1" w:color="auto"/>
          <w:left w:val="single" w:sz="4" w:space="4" w:color="auto"/>
          <w:bottom w:val="single" w:sz="4" w:space="1" w:color="auto"/>
          <w:right w:val="single" w:sz="4" w:space="4" w:color="auto"/>
        </w:pBdr>
        <w:rPr>
          <w:rFonts w:ascii="UnitOT-Light" w:hAnsi="UnitOT-Light"/>
        </w:rPr>
      </w:pPr>
      <w:r w:rsidRPr="00855E16">
        <w:rPr>
          <w:rFonts w:ascii="UnitOT-Light" w:hAnsi="UnitOT-Light"/>
          <w:b/>
        </w:rPr>
        <w:lastRenderedPageBreak/>
        <w:t xml:space="preserve">SDSN </w:t>
      </w:r>
      <w:proofErr w:type="spellStart"/>
      <w:r w:rsidR="00855E16" w:rsidRPr="00855E16">
        <w:rPr>
          <w:rFonts w:ascii="UnitOT-Light" w:hAnsi="UnitOT-Light"/>
          <w:b/>
        </w:rPr>
        <w:t>S</w:t>
      </w:r>
      <w:r w:rsidR="00855E16">
        <w:rPr>
          <w:rFonts w:ascii="UnitOT-Light" w:hAnsi="UnitOT-Light"/>
          <w:b/>
        </w:rPr>
        <w:t>witzerland</w:t>
      </w:r>
      <w:proofErr w:type="spellEnd"/>
      <w:r w:rsidR="00855E16" w:rsidRPr="00855E16">
        <w:rPr>
          <w:rFonts w:ascii="UnitOT-Light" w:hAnsi="UnitOT-Light"/>
          <w:b/>
        </w:rPr>
        <w:t xml:space="preserve"> </w:t>
      </w:r>
      <w:r w:rsidRPr="00855E16">
        <w:rPr>
          <w:rFonts w:ascii="UnitOT-Light" w:hAnsi="UnitOT-Light"/>
        </w:rPr>
        <w:t xml:space="preserve">ist Teil des UN </w:t>
      </w:r>
      <w:proofErr w:type="spellStart"/>
      <w:r w:rsidRPr="00855E16">
        <w:rPr>
          <w:rFonts w:ascii="UnitOT-Light" w:hAnsi="UnitOT-Light"/>
        </w:rPr>
        <w:t>Sustainable</w:t>
      </w:r>
      <w:proofErr w:type="spellEnd"/>
      <w:r w:rsidRPr="00855E16">
        <w:rPr>
          <w:rFonts w:ascii="UnitOT-Light" w:hAnsi="UnitOT-Light"/>
        </w:rPr>
        <w:t xml:space="preserve"> Development Solution</w:t>
      </w:r>
      <w:r w:rsidR="004724F4">
        <w:rPr>
          <w:rFonts w:ascii="UnitOT-Light" w:hAnsi="UnitOT-Light"/>
        </w:rPr>
        <w:t>s</w:t>
      </w:r>
      <w:r w:rsidRPr="00855E16">
        <w:rPr>
          <w:rFonts w:ascii="UnitOT-Light" w:hAnsi="UnitOT-Light"/>
        </w:rPr>
        <w:t xml:space="preserve"> Network (SDSN), einer globalen Initiative der Vereinten Nationen zur Umsetzung der UN Agenda 2030 und des Pariser Klima-Abkommens. Das Netzwerk für Nachhaltigkeitslösungen SDSN Schweiz vereint rund 50 führende Universitäten, Forschungszentren, zivilgesellschaftliche Organisationen, Unternehmen, andere Wissenszentren und Partner um transformative Lösungen zu schaffen und die globalen Ziele für nachhaltige Entwicklung in der Schweiz und darüber hinaus zu erreichen.</w:t>
      </w:r>
    </w:p>
    <w:p w14:paraId="43C8C2B5" w14:textId="5C4D2C08" w:rsidR="00FA1F74" w:rsidRPr="00855E16" w:rsidRDefault="00AA520E" w:rsidP="00855E16">
      <w:pPr>
        <w:pBdr>
          <w:top w:val="single" w:sz="4" w:space="1" w:color="auto"/>
          <w:left w:val="single" w:sz="4" w:space="4" w:color="auto"/>
          <w:bottom w:val="single" w:sz="4" w:space="1" w:color="auto"/>
          <w:right w:val="single" w:sz="4" w:space="4" w:color="auto"/>
        </w:pBdr>
        <w:rPr>
          <w:rFonts w:ascii="UnitOT-Light" w:hAnsi="UnitOT-Light"/>
        </w:rPr>
      </w:pPr>
      <w:r>
        <w:rPr>
          <w:rFonts w:ascii="UnitOT-Light" w:hAnsi="UnitOT-Light"/>
        </w:rPr>
        <w:t xml:space="preserve">Weitere Infos und Mitgliederübersicht: </w:t>
      </w:r>
      <w:hyperlink r:id="rId8" w:history="1">
        <w:r w:rsidRPr="00BD42C4">
          <w:rPr>
            <w:rStyle w:val="Hyperlink"/>
            <w:rFonts w:ascii="UnitOT-Light" w:hAnsi="UnitOT-Light"/>
          </w:rPr>
          <w:t>https://www.sdsn.ch/</w:t>
        </w:r>
      </w:hyperlink>
    </w:p>
    <w:sectPr w:rsidR="00FA1F74" w:rsidRPr="00855E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UnitOT-Medium">
    <w:altName w:val="Century"/>
    <w:panose1 w:val="00000000000000000000"/>
    <w:charset w:val="00"/>
    <w:family w:val="modern"/>
    <w:notTrueType/>
    <w:pitch w:val="variable"/>
    <w:sig w:usb0="800000AF" w:usb1="4000206B" w:usb2="00000000" w:usb3="00000000" w:csb0="00000001" w:csb1="00000000"/>
  </w:font>
  <w:font w:name="UnitOT-Light">
    <w:altName w:val="Centaur"/>
    <w:panose1 w:val="00000000000000000000"/>
    <w:charset w:val="00"/>
    <w:family w:val="modern"/>
    <w:notTrueType/>
    <w:pitch w:val="variable"/>
    <w:sig w:usb0="800000AF" w:usb1="4000206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3646F"/>
    <w:multiLevelType w:val="hybridMultilevel"/>
    <w:tmpl w:val="86C480F6"/>
    <w:lvl w:ilvl="0" w:tplc="08070001">
      <w:start w:val="1"/>
      <w:numFmt w:val="bullet"/>
      <w:lvlText w:val=""/>
      <w:lvlJc w:val="left"/>
      <w:pPr>
        <w:ind w:left="720" w:hanging="360"/>
      </w:pPr>
      <w:rPr>
        <w:rFonts w:ascii="Symbol" w:hAnsi="Symbol" w:hint="default"/>
      </w:rPr>
    </w:lvl>
    <w:lvl w:ilvl="1" w:tplc="0807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9E21A2"/>
    <w:multiLevelType w:val="hybridMultilevel"/>
    <w:tmpl w:val="DA904598"/>
    <w:lvl w:ilvl="0" w:tplc="08070001">
      <w:start w:val="1"/>
      <w:numFmt w:val="bullet"/>
      <w:lvlText w:val=""/>
      <w:lvlJc w:val="left"/>
      <w:pPr>
        <w:ind w:left="1080" w:hanging="360"/>
      </w:pPr>
      <w:rPr>
        <w:rFonts w:ascii="Symbol" w:hAnsi="Symbol" w:hint="default"/>
      </w:rPr>
    </w:lvl>
    <w:lvl w:ilvl="1" w:tplc="C6983EE6">
      <w:start w:val="1"/>
      <w:numFmt w:val="bullet"/>
      <w:lvlText w:val=""/>
      <w:lvlJc w:val="left"/>
      <w:pPr>
        <w:ind w:left="1800" w:hanging="360"/>
      </w:pPr>
      <w:rPr>
        <w:rFonts w:ascii="Wingdings" w:hAnsi="Wingdings" w:hint="default"/>
      </w:rPr>
    </w:lvl>
    <w:lvl w:ilvl="2" w:tplc="771831EE">
      <w:start w:val="1"/>
      <w:numFmt w:val="bullet"/>
      <w:lvlText w:val=""/>
      <w:lvlJc w:val="left"/>
      <w:pPr>
        <w:ind w:left="2520" w:hanging="360"/>
      </w:pPr>
      <w:rPr>
        <w:rFonts w:ascii="Wingdings" w:hAnsi="Wingdings" w:hint="default"/>
      </w:rPr>
    </w:lvl>
    <w:lvl w:ilvl="3" w:tplc="073E1BC6">
      <w:start w:val="1"/>
      <w:numFmt w:val="bullet"/>
      <w:lvlText w:val=""/>
      <w:lvlJc w:val="left"/>
      <w:pPr>
        <w:ind w:left="3240" w:hanging="360"/>
      </w:pPr>
      <w:rPr>
        <w:rFonts w:ascii="Symbol" w:hAnsi="Symbol" w:hint="default"/>
      </w:rPr>
    </w:lvl>
    <w:lvl w:ilvl="4" w:tplc="DB2A8F86">
      <w:start w:val="1"/>
      <w:numFmt w:val="bullet"/>
      <w:lvlText w:val="o"/>
      <w:lvlJc w:val="left"/>
      <w:pPr>
        <w:ind w:left="3960" w:hanging="360"/>
      </w:pPr>
      <w:rPr>
        <w:rFonts w:ascii="Courier New" w:hAnsi="Courier New" w:hint="default"/>
      </w:rPr>
    </w:lvl>
    <w:lvl w:ilvl="5" w:tplc="9A90FF86">
      <w:start w:val="1"/>
      <w:numFmt w:val="bullet"/>
      <w:lvlText w:val=""/>
      <w:lvlJc w:val="left"/>
      <w:pPr>
        <w:ind w:left="4680" w:hanging="360"/>
      </w:pPr>
      <w:rPr>
        <w:rFonts w:ascii="Wingdings" w:hAnsi="Wingdings" w:hint="default"/>
      </w:rPr>
    </w:lvl>
    <w:lvl w:ilvl="6" w:tplc="6EE0E670">
      <w:start w:val="1"/>
      <w:numFmt w:val="bullet"/>
      <w:lvlText w:val=""/>
      <w:lvlJc w:val="left"/>
      <w:pPr>
        <w:ind w:left="5400" w:hanging="360"/>
      </w:pPr>
      <w:rPr>
        <w:rFonts w:ascii="Symbol" w:hAnsi="Symbol" w:hint="default"/>
      </w:rPr>
    </w:lvl>
    <w:lvl w:ilvl="7" w:tplc="0728D040">
      <w:start w:val="1"/>
      <w:numFmt w:val="bullet"/>
      <w:lvlText w:val="o"/>
      <w:lvlJc w:val="left"/>
      <w:pPr>
        <w:ind w:left="6120" w:hanging="360"/>
      </w:pPr>
      <w:rPr>
        <w:rFonts w:ascii="Courier New" w:hAnsi="Courier New" w:hint="default"/>
      </w:rPr>
    </w:lvl>
    <w:lvl w:ilvl="8" w:tplc="C4DCDC2C">
      <w:start w:val="1"/>
      <w:numFmt w:val="bullet"/>
      <w:lvlText w:val=""/>
      <w:lvlJc w:val="left"/>
      <w:pPr>
        <w:ind w:left="6840" w:hanging="360"/>
      </w:pPr>
      <w:rPr>
        <w:rFonts w:ascii="Wingdings" w:hAnsi="Wingdings" w:hint="default"/>
      </w:rPr>
    </w:lvl>
  </w:abstractNum>
  <w:abstractNum w:abstractNumId="2" w15:restartNumberingAfterBreak="0">
    <w:nsid w:val="440A0803"/>
    <w:multiLevelType w:val="hybridMultilevel"/>
    <w:tmpl w:val="1B3C274A"/>
    <w:lvl w:ilvl="0" w:tplc="08070001">
      <w:start w:val="1"/>
      <w:numFmt w:val="bullet"/>
      <w:lvlText w:val=""/>
      <w:lvlJc w:val="left"/>
      <w:pPr>
        <w:ind w:left="1080" w:hanging="360"/>
      </w:pPr>
      <w:rPr>
        <w:rFonts w:ascii="Symbol" w:hAnsi="Symbol" w:hint="default"/>
      </w:rPr>
    </w:lvl>
    <w:lvl w:ilvl="1" w:tplc="1CD47B08">
      <w:start w:val="1"/>
      <w:numFmt w:val="bullet"/>
      <w:lvlText w:val="o"/>
      <w:lvlJc w:val="left"/>
      <w:pPr>
        <w:ind w:left="1800" w:hanging="360"/>
      </w:pPr>
      <w:rPr>
        <w:rFonts w:ascii="Courier New" w:hAnsi="Courier New" w:hint="default"/>
      </w:rPr>
    </w:lvl>
    <w:lvl w:ilvl="2" w:tplc="44840DCC">
      <w:start w:val="1"/>
      <w:numFmt w:val="bullet"/>
      <w:lvlText w:val=""/>
      <w:lvlJc w:val="left"/>
      <w:pPr>
        <w:ind w:left="2520" w:hanging="360"/>
      </w:pPr>
      <w:rPr>
        <w:rFonts w:ascii="Wingdings" w:hAnsi="Wingdings" w:hint="default"/>
      </w:rPr>
    </w:lvl>
    <w:lvl w:ilvl="3" w:tplc="B546DA74">
      <w:start w:val="1"/>
      <w:numFmt w:val="bullet"/>
      <w:lvlText w:val=""/>
      <w:lvlJc w:val="left"/>
      <w:pPr>
        <w:ind w:left="3240" w:hanging="360"/>
      </w:pPr>
      <w:rPr>
        <w:rFonts w:ascii="Symbol" w:hAnsi="Symbol" w:hint="default"/>
      </w:rPr>
    </w:lvl>
    <w:lvl w:ilvl="4" w:tplc="236897C2">
      <w:start w:val="1"/>
      <w:numFmt w:val="bullet"/>
      <w:lvlText w:val="o"/>
      <w:lvlJc w:val="left"/>
      <w:pPr>
        <w:ind w:left="3960" w:hanging="360"/>
      </w:pPr>
      <w:rPr>
        <w:rFonts w:ascii="Courier New" w:hAnsi="Courier New" w:hint="default"/>
      </w:rPr>
    </w:lvl>
    <w:lvl w:ilvl="5" w:tplc="6F16FFA6">
      <w:start w:val="1"/>
      <w:numFmt w:val="bullet"/>
      <w:lvlText w:val=""/>
      <w:lvlJc w:val="left"/>
      <w:pPr>
        <w:ind w:left="4680" w:hanging="360"/>
      </w:pPr>
      <w:rPr>
        <w:rFonts w:ascii="Wingdings" w:hAnsi="Wingdings" w:hint="default"/>
      </w:rPr>
    </w:lvl>
    <w:lvl w:ilvl="6" w:tplc="08DE8F26">
      <w:start w:val="1"/>
      <w:numFmt w:val="bullet"/>
      <w:lvlText w:val=""/>
      <w:lvlJc w:val="left"/>
      <w:pPr>
        <w:ind w:left="5400" w:hanging="360"/>
      </w:pPr>
      <w:rPr>
        <w:rFonts w:ascii="Symbol" w:hAnsi="Symbol" w:hint="default"/>
      </w:rPr>
    </w:lvl>
    <w:lvl w:ilvl="7" w:tplc="45982B96">
      <w:start w:val="1"/>
      <w:numFmt w:val="bullet"/>
      <w:lvlText w:val="o"/>
      <w:lvlJc w:val="left"/>
      <w:pPr>
        <w:ind w:left="6120" w:hanging="360"/>
      </w:pPr>
      <w:rPr>
        <w:rFonts w:ascii="Courier New" w:hAnsi="Courier New" w:hint="default"/>
      </w:rPr>
    </w:lvl>
    <w:lvl w:ilvl="8" w:tplc="6D5021C4">
      <w:start w:val="1"/>
      <w:numFmt w:val="bullet"/>
      <w:lvlText w:val=""/>
      <w:lvlJc w:val="left"/>
      <w:pPr>
        <w:ind w:left="6840" w:hanging="360"/>
      </w:pPr>
      <w:rPr>
        <w:rFonts w:ascii="Wingdings" w:hAnsi="Wingdings" w:hint="default"/>
      </w:rPr>
    </w:lvl>
  </w:abstractNum>
  <w:abstractNum w:abstractNumId="3" w15:restartNumberingAfterBreak="0">
    <w:nsid w:val="4C7D263B"/>
    <w:multiLevelType w:val="hybridMultilevel"/>
    <w:tmpl w:val="BF884E16"/>
    <w:lvl w:ilvl="0" w:tplc="0807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37916B1"/>
    <w:multiLevelType w:val="hybridMultilevel"/>
    <w:tmpl w:val="68D8A04E"/>
    <w:lvl w:ilvl="0" w:tplc="08070011">
      <w:start w:val="1"/>
      <w:numFmt w:val="decimal"/>
      <w:lvlText w:val="%1)"/>
      <w:lvlJc w:val="left"/>
      <w:pPr>
        <w:ind w:left="720" w:hanging="360"/>
      </w:pPr>
    </w:lvl>
    <w:lvl w:ilvl="1" w:tplc="CA825252">
      <w:start w:val="1"/>
      <w:numFmt w:val="bullet"/>
      <w:lvlText w:val=""/>
      <w:lvlJc w:val="left"/>
      <w:pPr>
        <w:ind w:left="1440" w:hanging="360"/>
      </w:pPr>
      <w:rPr>
        <w:rFonts w:ascii="Wingdings" w:hAnsi="Wingdings" w:hint="default"/>
      </w:rPr>
    </w:lvl>
    <w:lvl w:ilvl="2" w:tplc="7A0EEA60" w:tentative="1">
      <w:start w:val="1"/>
      <w:numFmt w:val="bullet"/>
      <w:lvlText w:val=""/>
      <w:lvlJc w:val="left"/>
      <w:pPr>
        <w:ind w:left="2160" w:hanging="360"/>
      </w:pPr>
      <w:rPr>
        <w:rFonts w:ascii="Wingdings" w:hAnsi="Wingdings" w:hint="default"/>
      </w:rPr>
    </w:lvl>
    <w:lvl w:ilvl="3" w:tplc="0A9EC6E0" w:tentative="1">
      <w:start w:val="1"/>
      <w:numFmt w:val="bullet"/>
      <w:lvlText w:val=""/>
      <w:lvlJc w:val="left"/>
      <w:pPr>
        <w:ind w:left="2880" w:hanging="360"/>
      </w:pPr>
      <w:rPr>
        <w:rFonts w:ascii="Symbol" w:hAnsi="Symbol" w:hint="default"/>
      </w:rPr>
    </w:lvl>
    <w:lvl w:ilvl="4" w:tplc="358A79DC" w:tentative="1">
      <w:start w:val="1"/>
      <w:numFmt w:val="bullet"/>
      <w:lvlText w:val="o"/>
      <w:lvlJc w:val="left"/>
      <w:pPr>
        <w:ind w:left="3600" w:hanging="360"/>
      </w:pPr>
      <w:rPr>
        <w:rFonts w:ascii="Courier New" w:hAnsi="Courier New" w:hint="default"/>
      </w:rPr>
    </w:lvl>
    <w:lvl w:ilvl="5" w:tplc="88349770" w:tentative="1">
      <w:start w:val="1"/>
      <w:numFmt w:val="bullet"/>
      <w:lvlText w:val=""/>
      <w:lvlJc w:val="left"/>
      <w:pPr>
        <w:ind w:left="4320" w:hanging="360"/>
      </w:pPr>
      <w:rPr>
        <w:rFonts w:ascii="Wingdings" w:hAnsi="Wingdings" w:hint="default"/>
      </w:rPr>
    </w:lvl>
    <w:lvl w:ilvl="6" w:tplc="2C761782" w:tentative="1">
      <w:start w:val="1"/>
      <w:numFmt w:val="bullet"/>
      <w:lvlText w:val=""/>
      <w:lvlJc w:val="left"/>
      <w:pPr>
        <w:ind w:left="5040" w:hanging="360"/>
      </w:pPr>
      <w:rPr>
        <w:rFonts w:ascii="Symbol" w:hAnsi="Symbol" w:hint="default"/>
      </w:rPr>
    </w:lvl>
    <w:lvl w:ilvl="7" w:tplc="34E0C0C0" w:tentative="1">
      <w:start w:val="1"/>
      <w:numFmt w:val="bullet"/>
      <w:lvlText w:val="o"/>
      <w:lvlJc w:val="left"/>
      <w:pPr>
        <w:ind w:left="5760" w:hanging="360"/>
      </w:pPr>
      <w:rPr>
        <w:rFonts w:ascii="Courier New" w:hAnsi="Courier New" w:hint="default"/>
      </w:rPr>
    </w:lvl>
    <w:lvl w:ilvl="8" w:tplc="361ADE2C" w:tentative="1">
      <w:start w:val="1"/>
      <w:numFmt w:val="bullet"/>
      <w:lvlText w:val=""/>
      <w:lvlJc w:val="left"/>
      <w:pPr>
        <w:ind w:left="6480" w:hanging="360"/>
      </w:pPr>
      <w:rPr>
        <w:rFonts w:ascii="Wingdings" w:hAnsi="Wingdings" w:hint="default"/>
      </w:rPr>
    </w:lvl>
  </w:abstractNum>
  <w:abstractNum w:abstractNumId="5" w15:restartNumberingAfterBreak="0">
    <w:nsid w:val="5AD90B7F"/>
    <w:multiLevelType w:val="hybridMultilevel"/>
    <w:tmpl w:val="5FCA57F2"/>
    <w:lvl w:ilvl="0" w:tplc="08070011">
      <w:start w:val="1"/>
      <w:numFmt w:val="decimal"/>
      <w:lvlText w:val="%1)"/>
      <w:lvlJc w:val="left"/>
      <w:pPr>
        <w:ind w:left="720" w:hanging="360"/>
      </w:pPr>
    </w:lvl>
    <w:lvl w:ilvl="1" w:tplc="08070019">
      <w:start w:val="1"/>
      <w:numFmt w:val="lowerLetter"/>
      <w:lvlText w:val="%2."/>
      <w:lvlJc w:val="left"/>
      <w:pPr>
        <w:ind w:left="1440" w:hanging="360"/>
      </w:pPr>
      <w:rPr>
        <w:rFonts w:hint="default"/>
      </w:rPr>
    </w:lvl>
    <w:lvl w:ilvl="2" w:tplc="7A0EEA60" w:tentative="1">
      <w:start w:val="1"/>
      <w:numFmt w:val="bullet"/>
      <w:lvlText w:val=""/>
      <w:lvlJc w:val="left"/>
      <w:pPr>
        <w:ind w:left="2160" w:hanging="360"/>
      </w:pPr>
      <w:rPr>
        <w:rFonts w:ascii="Wingdings" w:hAnsi="Wingdings" w:hint="default"/>
      </w:rPr>
    </w:lvl>
    <w:lvl w:ilvl="3" w:tplc="0A9EC6E0" w:tentative="1">
      <w:start w:val="1"/>
      <w:numFmt w:val="bullet"/>
      <w:lvlText w:val=""/>
      <w:lvlJc w:val="left"/>
      <w:pPr>
        <w:ind w:left="2880" w:hanging="360"/>
      </w:pPr>
      <w:rPr>
        <w:rFonts w:ascii="Symbol" w:hAnsi="Symbol" w:hint="default"/>
      </w:rPr>
    </w:lvl>
    <w:lvl w:ilvl="4" w:tplc="358A79DC" w:tentative="1">
      <w:start w:val="1"/>
      <w:numFmt w:val="bullet"/>
      <w:lvlText w:val="o"/>
      <w:lvlJc w:val="left"/>
      <w:pPr>
        <w:ind w:left="3600" w:hanging="360"/>
      </w:pPr>
      <w:rPr>
        <w:rFonts w:ascii="Courier New" w:hAnsi="Courier New" w:hint="default"/>
      </w:rPr>
    </w:lvl>
    <w:lvl w:ilvl="5" w:tplc="88349770" w:tentative="1">
      <w:start w:val="1"/>
      <w:numFmt w:val="bullet"/>
      <w:lvlText w:val=""/>
      <w:lvlJc w:val="left"/>
      <w:pPr>
        <w:ind w:left="4320" w:hanging="360"/>
      </w:pPr>
      <w:rPr>
        <w:rFonts w:ascii="Wingdings" w:hAnsi="Wingdings" w:hint="default"/>
      </w:rPr>
    </w:lvl>
    <w:lvl w:ilvl="6" w:tplc="2C761782" w:tentative="1">
      <w:start w:val="1"/>
      <w:numFmt w:val="bullet"/>
      <w:lvlText w:val=""/>
      <w:lvlJc w:val="left"/>
      <w:pPr>
        <w:ind w:left="5040" w:hanging="360"/>
      </w:pPr>
      <w:rPr>
        <w:rFonts w:ascii="Symbol" w:hAnsi="Symbol" w:hint="default"/>
      </w:rPr>
    </w:lvl>
    <w:lvl w:ilvl="7" w:tplc="34E0C0C0" w:tentative="1">
      <w:start w:val="1"/>
      <w:numFmt w:val="bullet"/>
      <w:lvlText w:val="o"/>
      <w:lvlJc w:val="left"/>
      <w:pPr>
        <w:ind w:left="5760" w:hanging="360"/>
      </w:pPr>
      <w:rPr>
        <w:rFonts w:ascii="Courier New" w:hAnsi="Courier New" w:hint="default"/>
      </w:rPr>
    </w:lvl>
    <w:lvl w:ilvl="8" w:tplc="361ADE2C" w:tentative="1">
      <w:start w:val="1"/>
      <w:numFmt w:val="bullet"/>
      <w:lvlText w:val=""/>
      <w:lvlJc w:val="left"/>
      <w:pPr>
        <w:ind w:left="6480" w:hanging="360"/>
      </w:pPr>
      <w:rPr>
        <w:rFonts w:ascii="Wingdings" w:hAnsi="Wingdings" w:hint="default"/>
      </w:rPr>
    </w:lvl>
  </w:abstractNum>
  <w:abstractNum w:abstractNumId="6" w15:restartNumberingAfterBreak="0">
    <w:nsid w:val="5E6E61F8"/>
    <w:multiLevelType w:val="hybridMultilevel"/>
    <w:tmpl w:val="DD84D0EC"/>
    <w:lvl w:ilvl="0" w:tplc="08070011">
      <w:start w:val="1"/>
      <w:numFmt w:val="decimal"/>
      <w:lvlText w:val="%1)"/>
      <w:lvlJc w:val="left"/>
      <w:pPr>
        <w:ind w:left="720" w:hanging="360"/>
      </w:pPr>
    </w:lvl>
    <w:lvl w:ilvl="1" w:tplc="0807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F0117D"/>
    <w:multiLevelType w:val="hybridMultilevel"/>
    <w:tmpl w:val="20F23D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9E3"/>
    <w:rsid w:val="0000155F"/>
    <w:rsid w:val="0008168B"/>
    <w:rsid w:val="000C579D"/>
    <w:rsid w:val="00102D39"/>
    <w:rsid w:val="00147752"/>
    <w:rsid w:val="001A76FB"/>
    <w:rsid w:val="001F70CE"/>
    <w:rsid w:val="00266205"/>
    <w:rsid w:val="00274AC2"/>
    <w:rsid w:val="002D378C"/>
    <w:rsid w:val="00322FE0"/>
    <w:rsid w:val="00352D1E"/>
    <w:rsid w:val="003777ED"/>
    <w:rsid w:val="003936E1"/>
    <w:rsid w:val="003A3465"/>
    <w:rsid w:val="00453EC7"/>
    <w:rsid w:val="004724F4"/>
    <w:rsid w:val="00485B71"/>
    <w:rsid w:val="004F433D"/>
    <w:rsid w:val="00503AB4"/>
    <w:rsid w:val="005D61D6"/>
    <w:rsid w:val="005E7302"/>
    <w:rsid w:val="005E734D"/>
    <w:rsid w:val="005F3F97"/>
    <w:rsid w:val="006238C1"/>
    <w:rsid w:val="006447D9"/>
    <w:rsid w:val="0065164E"/>
    <w:rsid w:val="006D7302"/>
    <w:rsid w:val="00747746"/>
    <w:rsid w:val="0075570E"/>
    <w:rsid w:val="00784E5F"/>
    <w:rsid w:val="00851312"/>
    <w:rsid w:val="00855E16"/>
    <w:rsid w:val="008715A6"/>
    <w:rsid w:val="00876F7D"/>
    <w:rsid w:val="008D3754"/>
    <w:rsid w:val="00920C07"/>
    <w:rsid w:val="0098239C"/>
    <w:rsid w:val="0099618A"/>
    <w:rsid w:val="009C49E3"/>
    <w:rsid w:val="009F606B"/>
    <w:rsid w:val="00A1136B"/>
    <w:rsid w:val="00A4434C"/>
    <w:rsid w:val="00A87E7F"/>
    <w:rsid w:val="00A9166C"/>
    <w:rsid w:val="00AA520E"/>
    <w:rsid w:val="00B273D1"/>
    <w:rsid w:val="00B55C5B"/>
    <w:rsid w:val="00B75B65"/>
    <w:rsid w:val="00B87186"/>
    <w:rsid w:val="00B92B45"/>
    <w:rsid w:val="00B95676"/>
    <w:rsid w:val="00C06983"/>
    <w:rsid w:val="00C34397"/>
    <w:rsid w:val="00C46270"/>
    <w:rsid w:val="00C924C0"/>
    <w:rsid w:val="00CA13E1"/>
    <w:rsid w:val="00DA11C9"/>
    <w:rsid w:val="00DC1570"/>
    <w:rsid w:val="00E02480"/>
    <w:rsid w:val="00E12B18"/>
    <w:rsid w:val="00E32FFD"/>
    <w:rsid w:val="00E479EA"/>
    <w:rsid w:val="00E65F58"/>
    <w:rsid w:val="00E705B4"/>
    <w:rsid w:val="00EE6939"/>
    <w:rsid w:val="00F058ED"/>
    <w:rsid w:val="00F1052D"/>
    <w:rsid w:val="00F70382"/>
    <w:rsid w:val="00FA1F74"/>
    <w:rsid w:val="00FA274D"/>
    <w:rsid w:val="00FF582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3C17F"/>
  <w15:chartTrackingRefBased/>
  <w15:docId w15:val="{E29E83A4-EF5C-4560-ABE1-928E4A26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ormaltextrun">
    <w:name w:val="normaltextrun"/>
    <w:basedOn w:val="Absatz-Standardschriftart"/>
    <w:rsid w:val="009C49E3"/>
  </w:style>
  <w:style w:type="character" w:customStyle="1" w:styleId="eop">
    <w:name w:val="eop"/>
    <w:basedOn w:val="Absatz-Standardschriftart"/>
    <w:rsid w:val="009C49E3"/>
  </w:style>
  <w:style w:type="character" w:styleId="Hyperlink">
    <w:name w:val="Hyperlink"/>
    <w:basedOn w:val="Absatz-Standardschriftart"/>
    <w:uiPriority w:val="99"/>
    <w:unhideWhenUsed/>
    <w:rsid w:val="002D378C"/>
    <w:rPr>
      <w:color w:val="0563C1"/>
      <w:u w:val="single"/>
    </w:rPr>
  </w:style>
  <w:style w:type="paragraph" w:styleId="Listenabsatz">
    <w:name w:val="List Paragraph"/>
    <w:basedOn w:val="Standard"/>
    <w:uiPriority w:val="34"/>
    <w:qFormat/>
    <w:rsid w:val="004F433D"/>
    <w:pPr>
      <w:spacing w:after="0" w:line="260" w:lineRule="atLeast"/>
      <w:ind w:left="720"/>
      <w:contextualSpacing/>
    </w:pPr>
    <w:rPr>
      <w:rFonts w:ascii="Arial" w:hAnsi="Arial" w:cs="Arial"/>
      <w:sz w:val="20"/>
      <w:lang w:val="en-US"/>
    </w:rPr>
  </w:style>
  <w:style w:type="paragraph" w:styleId="Sprechblasentext">
    <w:name w:val="Balloon Text"/>
    <w:basedOn w:val="Standard"/>
    <w:link w:val="SprechblasentextZchn"/>
    <w:uiPriority w:val="99"/>
    <w:semiHidden/>
    <w:unhideWhenUsed/>
    <w:rsid w:val="003777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77ED"/>
    <w:rPr>
      <w:rFonts w:ascii="Segoe UI" w:hAnsi="Segoe UI" w:cs="Segoe UI"/>
      <w:sz w:val="18"/>
      <w:szCs w:val="18"/>
    </w:rPr>
  </w:style>
  <w:style w:type="character" w:styleId="Kommentarzeichen">
    <w:name w:val="annotation reference"/>
    <w:basedOn w:val="Absatz-Standardschriftart"/>
    <w:uiPriority w:val="99"/>
    <w:semiHidden/>
    <w:unhideWhenUsed/>
    <w:rsid w:val="00A4434C"/>
    <w:rPr>
      <w:sz w:val="16"/>
      <w:szCs w:val="16"/>
    </w:rPr>
  </w:style>
  <w:style w:type="paragraph" w:styleId="Kommentartext">
    <w:name w:val="annotation text"/>
    <w:basedOn w:val="Standard"/>
    <w:link w:val="KommentartextZchn"/>
    <w:uiPriority w:val="99"/>
    <w:semiHidden/>
    <w:unhideWhenUsed/>
    <w:rsid w:val="00A4434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4434C"/>
    <w:rPr>
      <w:sz w:val="20"/>
      <w:szCs w:val="20"/>
    </w:rPr>
  </w:style>
  <w:style w:type="paragraph" w:styleId="Kommentarthema">
    <w:name w:val="annotation subject"/>
    <w:basedOn w:val="Kommentartext"/>
    <w:next w:val="Kommentartext"/>
    <w:link w:val="KommentarthemaZchn"/>
    <w:uiPriority w:val="99"/>
    <w:semiHidden/>
    <w:unhideWhenUsed/>
    <w:rsid w:val="00A4434C"/>
    <w:rPr>
      <w:b/>
      <w:bCs/>
    </w:rPr>
  </w:style>
  <w:style w:type="character" w:customStyle="1" w:styleId="KommentarthemaZchn">
    <w:name w:val="Kommentarthema Zchn"/>
    <w:basedOn w:val="KommentartextZchn"/>
    <w:link w:val="Kommentarthema"/>
    <w:uiPriority w:val="99"/>
    <w:semiHidden/>
    <w:rsid w:val="00A4434C"/>
    <w:rPr>
      <w:b/>
      <w:bCs/>
      <w:sz w:val="20"/>
      <w:szCs w:val="20"/>
    </w:rPr>
  </w:style>
  <w:style w:type="paragraph" w:styleId="berarbeitung">
    <w:name w:val="Revision"/>
    <w:hidden/>
    <w:uiPriority w:val="99"/>
    <w:semiHidden/>
    <w:rsid w:val="00E65F58"/>
    <w:pPr>
      <w:spacing w:after="0" w:line="240" w:lineRule="auto"/>
    </w:pPr>
  </w:style>
  <w:style w:type="character" w:styleId="BesuchterHyperlink">
    <w:name w:val="FollowedHyperlink"/>
    <w:basedOn w:val="Absatz-Standardschriftart"/>
    <w:uiPriority w:val="99"/>
    <w:semiHidden/>
    <w:unhideWhenUsed/>
    <w:rsid w:val="00F058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sn.ch/" TargetMode="External"/><Relationship Id="rId3" Type="http://schemas.openxmlformats.org/officeDocument/2006/relationships/styles" Target="styles.xml"/><Relationship Id="rId7" Type="http://schemas.openxmlformats.org/officeDocument/2006/relationships/hyperlink" Target="https://www.sdsn.ch/resour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dsn.ch/resourc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A5445-C06A-461D-AE90-987F3BF93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5954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Küng</dc:creator>
  <cp:keywords/>
  <dc:description/>
  <cp:lastModifiedBy>Daniela Rhyner</cp:lastModifiedBy>
  <cp:revision>3</cp:revision>
  <dcterms:created xsi:type="dcterms:W3CDTF">2021-02-11T13:50:00Z</dcterms:created>
  <dcterms:modified xsi:type="dcterms:W3CDTF">2021-02-11T16:42:00Z</dcterms:modified>
</cp:coreProperties>
</file>